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22" w:rsidRDefault="004D3622">
      <w:bookmarkStart w:id="0" w:name="_GoBack"/>
      <w:bookmarkEnd w:id="0"/>
    </w:p>
    <w:p w:rsidR="004D3622" w:rsidRDefault="004D3622"/>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C352FA" w:rsidP="004A6D2F">
            <w:pPr>
              <w:rPr>
                <w:rStyle w:val="Firstpagetablebold"/>
              </w:rPr>
            </w:pPr>
            <w:r>
              <w:rPr>
                <w:rStyle w:val="Firstpagetablebold"/>
              </w:rPr>
              <w:t>Cabinet</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C352FA" w:rsidP="005B1E8B">
            <w:pPr>
              <w:rPr>
                <w:b/>
              </w:rPr>
            </w:pPr>
            <w:r>
              <w:rPr>
                <w:rStyle w:val="Firstpagetablebold"/>
              </w:rPr>
              <w:t xml:space="preserve">11 </w:t>
            </w:r>
            <w:r w:rsidR="007703CA">
              <w:rPr>
                <w:rStyle w:val="Firstpagetablebold"/>
              </w:rPr>
              <w:t>September</w:t>
            </w:r>
            <w:r w:rsidR="003B7DA1">
              <w:rPr>
                <w:rStyle w:val="Firstpagetablebold"/>
              </w:rPr>
              <w:t xml:space="preserve"> 201</w:t>
            </w:r>
            <w:r w:rsidR="003E0A82">
              <w:rPr>
                <w:rStyle w:val="Firstpagetablebold"/>
              </w:rPr>
              <w:t>9</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7703CA">
            <w:pPr>
              <w:rPr>
                <w:rStyle w:val="Firstpagetablebold"/>
              </w:rPr>
            </w:pPr>
            <w:r w:rsidRPr="007703CA">
              <w:rPr>
                <w:rStyle w:val="Firstpagetablebold"/>
              </w:rPr>
              <w:t>Treasury Management Annual Report 201</w:t>
            </w:r>
            <w:r w:rsidR="003E0A82">
              <w:rPr>
                <w:rStyle w:val="Firstpagetablebold"/>
              </w:rPr>
              <w:t>8</w:t>
            </w:r>
            <w:r w:rsidRPr="007703CA">
              <w:rPr>
                <w:rStyle w:val="Firstpagetablebold"/>
              </w:rPr>
              <w:t>/201</w:t>
            </w:r>
            <w:r w:rsidR="003E0A82">
              <w:rPr>
                <w:rStyle w:val="Firstpagetablebold"/>
              </w:rPr>
              <w:t>9</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2D2A14" w:rsidRPr="002A3355">
              <w:t>201</w:t>
            </w:r>
            <w:r w:rsidR="002A3355">
              <w:t>8</w:t>
            </w:r>
            <w:r w:rsidRPr="002A3355">
              <w:t>/</w:t>
            </w:r>
            <w:r w:rsidR="002D2A14" w:rsidRPr="002A3355">
              <w:t>201</w:t>
            </w:r>
            <w:r w:rsidR="002A3355">
              <w:t>9</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C4FF3" w:rsidP="005F7F7E">
            <w:r w:rsidRPr="005C4FF3">
              <w:t>Councillor Ed Turner</w:t>
            </w:r>
          </w:p>
        </w:tc>
      </w:tr>
      <w:tr w:rsidR="0080749A"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C352FA">
            <w:proofErr w:type="spellStart"/>
            <w:r>
              <w:rPr>
                <w:rStyle w:val="Firstpagetablebold"/>
              </w:rPr>
              <w:t>Recommendation:</w:t>
            </w:r>
            <w:r w:rsidRPr="00C352FA">
              <w:rPr>
                <w:rStyle w:val="Firstpagetablebold"/>
                <w:b w:val="0"/>
              </w:rPr>
              <w:t>That</w:t>
            </w:r>
            <w:proofErr w:type="spellEnd"/>
            <w:r w:rsidRPr="00C352FA">
              <w:rPr>
                <w:rStyle w:val="Firstpagetablebold"/>
                <w:b w:val="0"/>
              </w:rPr>
              <w:t xml:space="preserve"> the </w:t>
            </w:r>
            <w:r w:rsidR="00C352FA">
              <w:rPr>
                <w:rStyle w:val="Firstpagetablebold"/>
                <w:b w:val="0"/>
              </w:rPr>
              <w:t xml:space="preserve">Cabinet </w:t>
            </w:r>
            <w:r w:rsidRPr="00C352FA">
              <w:rPr>
                <w:rStyle w:val="Firstpagetablebold"/>
                <w:b w:val="0"/>
              </w:rPr>
              <w:t>resolves to:</w:t>
            </w:r>
          </w:p>
        </w:tc>
      </w:tr>
      <w:tr w:rsidR="00B80611"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BE7028" w:rsidRDefault="00B80611" w:rsidP="0077395B">
            <w:pPr>
              <w:rPr>
                <w:b/>
              </w:rPr>
            </w:pPr>
            <w:r w:rsidRPr="00C352FA">
              <w:rPr>
                <w:rStyle w:val="Firstpagetablebold"/>
              </w:rPr>
              <w:t>Note</w:t>
            </w:r>
            <w:r w:rsidRPr="00BE7028">
              <w:rPr>
                <w:rStyle w:val="Firstpagetablebold"/>
                <w:b w:val="0"/>
              </w:rPr>
              <w:t xml:space="preserve"> the report</w:t>
            </w:r>
          </w:p>
        </w:tc>
      </w:tr>
      <w:tr w:rsidR="00232F5B"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2"/>
            <w:tcBorders>
              <w:top w:val="nil"/>
              <w:left w:val="nil"/>
              <w:bottom w:val="single" w:sz="8" w:space="0" w:color="000000"/>
              <w:right w:val="single" w:sz="8" w:space="0" w:color="000000"/>
            </w:tcBorders>
            <w:shd w:val="clear" w:color="auto" w:fill="auto"/>
          </w:tcPr>
          <w:p w:rsidR="00B80611" w:rsidRPr="001356F1" w:rsidRDefault="00B80611" w:rsidP="00981D91"/>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5C4FF3">
      <w:pPr>
        <w:pStyle w:val="ListParagraph"/>
      </w:pPr>
      <w:r w:rsidRPr="005C4FF3">
        <w:t>The Council held investments of £</w:t>
      </w:r>
      <w:r w:rsidR="002A3355">
        <w:t>96</w:t>
      </w:r>
      <w:r w:rsidR="001975F2">
        <w:t>.2</w:t>
      </w:r>
      <w:r w:rsidRPr="005C4FF3">
        <w:t xml:space="preserve"> million as at 31st March 201</w:t>
      </w:r>
      <w:r w:rsidR="002A3355">
        <w:t>9.</w:t>
      </w:r>
      <w:r w:rsidRPr="005C4FF3">
        <w:t xml:space="preserve">  </w:t>
      </w:r>
      <w:r w:rsidR="00E92388">
        <w:t>Net i</w:t>
      </w:r>
      <w:r w:rsidRPr="005C4FF3">
        <w:t>nterest earned during the year</w:t>
      </w:r>
      <w:r w:rsidR="00E92388">
        <w:t>, including from loans to companies and external borrowing,</w:t>
      </w:r>
      <w:r w:rsidRPr="005C4FF3">
        <w:t xml:space="preserve"> </w:t>
      </w:r>
      <w:r w:rsidRPr="0012223A">
        <w:t>was £</w:t>
      </w:r>
      <w:r w:rsidR="00E92388">
        <w:t>3.12</w:t>
      </w:r>
      <w:r w:rsidRPr="005C4FF3">
        <w:t xml:space="preserve"> million against a target of £</w:t>
      </w:r>
      <w:r w:rsidR="00E92388">
        <w:t>2.91</w:t>
      </w:r>
      <w:r w:rsidR="00184E2E" w:rsidRPr="005C4FF3">
        <w:t xml:space="preserve"> </w:t>
      </w:r>
      <w:r w:rsidRPr="005C4FF3">
        <w:t>million</w:t>
      </w:r>
      <w:r w:rsidR="00E92388">
        <w:t>, excluding any one-off or exceptional items</w:t>
      </w:r>
      <w:r w:rsidRPr="005C4FF3">
        <w:t>.</w:t>
      </w:r>
    </w:p>
    <w:p w:rsidR="005C4FF3" w:rsidRDefault="005C4FF3" w:rsidP="005C4FF3">
      <w:pPr>
        <w:pStyle w:val="ListParagraph"/>
      </w:pPr>
      <w:r w:rsidRPr="005C4FF3">
        <w:t>The average rate of return on the Council’s investments in 201</w:t>
      </w:r>
      <w:r w:rsidR="00C032BC">
        <w:t>8</w:t>
      </w:r>
      <w:r w:rsidRPr="005C4FF3">
        <w:t>/1</w:t>
      </w:r>
      <w:r w:rsidR="00C032BC">
        <w:t>9</w:t>
      </w:r>
      <w:r w:rsidRPr="005C4FF3">
        <w:t xml:space="preserve"> was </w:t>
      </w:r>
      <w:r w:rsidR="00293757">
        <w:t>1.15</w:t>
      </w:r>
      <w:r w:rsidRPr="008005A9">
        <w:t xml:space="preserve">% compared to </w:t>
      </w:r>
      <w:r w:rsidR="00C9131F">
        <w:t>1</w:t>
      </w:r>
      <w:r w:rsidRPr="008005A9">
        <w:t>.</w:t>
      </w:r>
      <w:r w:rsidR="00C032BC">
        <w:t>17</w:t>
      </w:r>
      <w:r w:rsidRPr="00FA020C">
        <w:t>% in 201</w:t>
      </w:r>
      <w:r w:rsidR="00C032BC">
        <w:t>7</w:t>
      </w:r>
      <w:r w:rsidRPr="00FA020C">
        <w:t>/1</w:t>
      </w:r>
      <w:r w:rsidR="005615B3">
        <w:t>8</w:t>
      </w:r>
      <w:r w:rsidRPr="00FA020C">
        <w:t>. Th</w:t>
      </w:r>
      <w:r w:rsidR="004A3A53">
        <w:t xml:space="preserve">e </w:t>
      </w:r>
      <w:r w:rsidRPr="00FA020C">
        <w:t xml:space="preserve">Council’s performance target </w:t>
      </w:r>
      <w:r w:rsidR="00120C66">
        <w:t>for the year was</w:t>
      </w:r>
      <w:r w:rsidR="004A3A53">
        <w:t xml:space="preserve"> 0.6% above base rate, eq</w:t>
      </w:r>
      <w:r w:rsidR="00293757">
        <w:t>uating to 1.10% for April-Jul 2018 and 1.35</w:t>
      </w:r>
      <w:r w:rsidR="004A3A53">
        <w:t xml:space="preserve">% for </w:t>
      </w:r>
      <w:r w:rsidR="00293757">
        <w:t>August 2018-March 2019</w:t>
      </w:r>
      <w:r w:rsidR="004A3A53">
        <w:t xml:space="preserve">. </w:t>
      </w:r>
      <w:r w:rsidR="00E92388">
        <w:t xml:space="preserve"> Although there was an increase in the base rate during the year, this was not reflected in investment returns as the market reduced its rates due to perceived economic and political risks.</w:t>
      </w:r>
    </w:p>
    <w:p w:rsidR="00730E64" w:rsidRDefault="00730E64">
      <w:pPr>
        <w:spacing w:after="0"/>
      </w:pPr>
      <w:r>
        <w:br w:type="page"/>
      </w:r>
    </w:p>
    <w:p w:rsidR="005C4FF3" w:rsidRDefault="00E92388" w:rsidP="005C4FF3">
      <w:pPr>
        <w:pStyle w:val="ListParagraph"/>
      </w:pPr>
      <w:r>
        <w:lastRenderedPageBreak/>
        <w:t>At 1 April 2018, t</w:t>
      </w:r>
      <w:r w:rsidR="00293757">
        <w:t>he Council had</w:t>
      </w:r>
      <w:r w:rsidR="005C4FF3" w:rsidRPr="005C4FF3">
        <w:t xml:space="preserve"> £0.1</w:t>
      </w:r>
      <w:r w:rsidR="001206BF">
        <w:t>7</w:t>
      </w:r>
      <w:r w:rsidR="005C4FF3" w:rsidRPr="005C4FF3">
        <w:t xml:space="preserve"> million outstanding with the failed Icelandic Banks.  </w:t>
      </w:r>
      <w:r w:rsidR="00184E2E">
        <w:t xml:space="preserve">Nothing was received in the year </w:t>
      </w:r>
      <w:r w:rsidR="008005A9">
        <w:t>and the viability of the</w:t>
      </w:r>
      <w:r w:rsidR="005C4FF3" w:rsidRPr="005C4FF3">
        <w:t xml:space="preserve"> remaining </w:t>
      </w:r>
      <w:r w:rsidR="005B1E8B">
        <w:t xml:space="preserve">balance </w:t>
      </w:r>
      <w:r w:rsidR="00120C66">
        <w:t>was</w:t>
      </w:r>
      <w:r w:rsidR="008005A9">
        <w:t xml:space="preserve"> </w:t>
      </w:r>
      <w:r>
        <w:t>low</w:t>
      </w:r>
      <w:r w:rsidR="008005A9">
        <w:t xml:space="preserve">.  </w:t>
      </w:r>
      <w:r>
        <w:t>This balance was</w:t>
      </w:r>
      <w:r w:rsidR="008005A9">
        <w:t xml:space="preserve"> written off</w:t>
      </w:r>
      <w:r w:rsidR="00293757">
        <w:t xml:space="preserve"> to revenue in 2018/19</w:t>
      </w:r>
      <w:r w:rsidR="005C4FF3" w:rsidRPr="005C4FF3">
        <w:t xml:space="preserve">.  </w:t>
      </w:r>
      <w:r w:rsidR="00774FC2">
        <w:t>Wr</w:t>
      </w:r>
      <w:r w:rsidR="00293757">
        <w:t>iting off the balances does</w:t>
      </w:r>
      <w:r w:rsidR="00774FC2">
        <w:t xml:space="preserve"> </w:t>
      </w:r>
      <w:r>
        <w:t xml:space="preserve">not </w:t>
      </w:r>
      <w:r w:rsidR="00774FC2">
        <w:t xml:space="preserve">stop the Council continuing to take any actions it could to get the funds returned.  The write-off is just an "accounting treatment" of the monies owing.  </w:t>
      </w:r>
      <w:r w:rsidR="005C4FF3" w:rsidRPr="005C4FF3">
        <w:t xml:space="preserve">Further information can be found in </w:t>
      </w:r>
      <w:r w:rsidR="005C4FF3" w:rsidRPr="00431642">
        <w:t>paragraphs 2</w:t>
      </w:r>
      <w:r w:rsidR="002269B7" w:rsidRPr="00431642">
        <w:t>5</w:t>
      </w:r>
      <w:r w:rsidR="005C4FF3" w:rsidRPr="00431642">
        <w:t>-2</w:t>
      </w:r>
      <w:r w:rsidR="002269B7" w:rsidRPr="00431642">
        <w:t>8</w:t>
      </w:r>
      <w:r w:rsidR="005C4FF3" w:rsidRPr="00431642">
        <w:t>.</w:t>
      </w:r>
    </w:p>
    <w:p w:rsidR="00E92388" w:rsidRPr="00431642" w:rsidRDefault="00E92388" w:rsidP="005C4FF3">
      <w:pPr>
        <w:pStyle w:val="ListParagraph"/>
      </w:pPr>
      <w:r>
        <w:t>The Council was owed £1.17 million relating to land at Barton Park as at 1 April 2018.  Information that became available during 2018/19 identified that the Council is now extremely unlikely to receive payment for this debt under the Barton Oxford LLP agreement.  This debt was therefore fully impaired in 2018/19.  The impairment, however, due to its capital nature, is reversed out of revenue meaning that there is an impact on the level of capital resources available in the future but no direct impact on the level of general fund balances.</w:t>
      </w:r>
    </w:p>
    <w:p w:rsidR="005C4FF3" w:rsidRPr="001356F1" w:rsidRDefault="005C4FF3" w:rsidP="005C4FF3">
      <w:pPr>
        <w:pStyle w:val="ListParagraph"/>
      </w:pPr>
      <w:r w:rsidRPr="00431642">
        <w:t>The Council held £198.5 million of fixed rate Public</w:t>
      </w:r>
      <w:r w:rsidRPr="005C4FF3">
        <w:t xml:space="preserve"> Works L</w:t>
      </w:r>
      <w:r w:rsidR="00333D5B">
        <w:t>oan Board (PWLB) debt as at 31</w:t>
      </w:r>
      <w:r w:rsidRPr="005C4FF3">
        <w:t xml:space="preserve"> March </w:t>
      </w:r>
      <w:r w:rsidR="00184E2E" w:rsidRPr="005C4FF3">
        <w:t>201</w:t>
      </w:r>
      <w:r w:rsidR="005615B3">
        <w:t>9</w:t>
      </w:r>
      <w:r w:rsidRPr="005C4FF3">
        <w:t xml:space="preserve">.  The debt was borrowed in March 2012 to fund the buy-out of the Housing Revenue Account (HRA). All of the debt relates to Housing and the maturity profile ranges from </w:t>
      </w:r>
      <w:r w:rsidR="00184E2E" w:rsidRPr="0012223A">
        <w:t xml:space="preserve">4 </w:t>
      </w:r>
      <w:r w:rsidRPr="0012223A">
        <w:t xml:space="preserve">to </w:t>
      </w:r>
      <w:r w:rsidR="00184E2E" w:rsidRPr="0012223A">
        <w:t>40</w:t>
      </w:r>
      <w:r w:rsidR="00184E2E" w:rsidRPr="005C4FF3">
        <w:t xml:space="preserve"> </w:t>
      </w:r>
      <w:r w:rsidRPr="005C4FF3">
        <w:t xml:space="preserve">years.  Interest paid on the debt in </w:t>
      </w:r>
      <w:r w:rsidR="00184E2E" w:rsidRPr="005C4FF3">
        <w:t>201</w:t>
      </w:r>
      <w:r w:rsidR="005615B3">
        <w:t>8</w:t>
      </w:r>
      <w:r w:rsidRPr="005C4FF3">
        <w:t>/</w:t>
      </w:r>
      <w:r w:rsidR="00184E2E" w:rsidRPr="005C4FF3">
        <w:t>1</w:t>
      </w:r>
      <w:r w:rsidR="005615B3">
        <w:t>9</w:t>
      </w:r>
      <w:r w:rsidR="00184E2E" w:rsidRPr="005C4FF3">
        <w:t xml:space="preserve"> </w:t>
      </w:r>
      <w:r w:rsidRPr="005C4FF3">
        <w:t xml:space="preserve">was </w:t>
      </w:r>
      <w:r w:rsidRPr="00FE157D">
        <w:t>£6.47 million.</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C9131F" w:rsidRPr="003C7A90" w:rsidRDefault="00C9131F" w:rsidP="005876BD">
      <w:pPr>
        <w:spacing w:after="0"/>
        <w:ind w:left="1134"/>
      </w:pPr>
    </w:p>
    <w:p w:rsidR="00E87F7A" w:rsidRDefault="00841F4D" w:rsidP="00841F4D">
      <w:pPr>
        <w:pStyle w:val="bParagraphtext"/>
      </w:pPr>
      <w:r w:rsidRPr="00841F4D">
        <w:t xml:space="preserve">The Council fully complied with its Treasury Management Strategy in relation to both debt and investment management in </w:t>
      </w:r>
      <w:r w:rsidR="00184E2E" w:rsidRPr="00841F4D">
        <w:t>201</w:t>
      </w:r>
      <w:r w:rsidR="005615B3">
        <w:t>8/19</w:t>
      </w:r>
      <w:r w:rsidR="00C9131F">
        <w:t>.</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w:t>
      </w:r>
      <w:r w:rsidR="00184E2E">
        <w:t>201</w:t>
      </w:r>
      <w:r w:rsidR="005615B3">
        <w:t>8/19</w:t>
      </w:r>
      <w:r w:rsidR="00C9131F">
        <w:t>.</w:t>
      </w:r>
    </w:p>
    <w:p w:rsidR="00730E64" w:rsidRDefault="00730E64">
      <w:pPr>
        <w:spacing w:after="0"/>
        <w:rPr>
          <w:b/>
        </w:rPr>
      </w:pPr>
      <w:r>
        <w:rPr>
          <w:b/>
        </w:rPr>
        <w:br w:type="page"/>
      </w:r>
    </w:p>
    <w:p w:rsidR="00841F4D" w:rsidRPr="00F94D74" w:rsidRDefault="00841F4D" w:rsidP="00841F4D">
      <w:pPr>
        <w:rPr>
          <w:b/>
          <w:i/>
        </w:rPr>
      </w:pPr>
      <w:r>
        <w:rPr>
          <w:b/>
        </w:rPr>
        <w:lastRenderedPageBreak/>
        <w:t xml:space="preserve">Financing the Capital Programme </w:t>
      </w:r>
      <w:r w:rsidR="00F72A82">
        <w:rPr>
          <w:b/>
        </w:rPr>
        <w:t>2018/19</w:t>
      </w:r>
    </w:p>
    <w:p w:rsidR="00E87F7A" w:rsidRDefault="000B39A5" w:rsidP="005570B5">
      <w:pPr>
        <w:pStyle w:val="bParagraphtext"/>
      </w:pPr>
      <w:r w:rsidRPr="000B39A5">
        <w:t>Table 1 below shows actual capital expenditure and financing compared to the original budget.</w:t>
      </w:r>
    </w:p>
    <w:p w:rsidR="001F51A6" w:rsidRDefault="000B39A5" w:rsidP="00431642">
      <w:pPr>
        <w:spacing w:after="0"/>
        <w:ind w:firstLine="720"/>
        <w:rPr>
          <w:b/>
          <w:color w:val="auto"/>
          <w:lang w:eastAsia="en-US"/>
        </w:rPr>
      </w:pPr>
      <w:r w:rsidRPr="00431642">
        <w:rPr>
          <w:b/>
          <w:color w:val="auto"/>
          <w:lang w:eastAsia="en-US"/>
        </w:rPr>
        <w:t>Table 1</w:t>
      </w:r>
    </w:p>
    <w:tbl>
      <w:tblPr>
        <w:tblW w:w="8280" w:type="dxa"/>
        <w:tblInd w:w="720" w:type="dxa"/>
        <w:tblLook w:val="04A0" w:firstRow="1" w:lastRow="0" w:firstColumn="1" w:lastColumn="0" w:noHBand="0" w:noVBand="1"/>
      </w:tblPr>
      <w:tblGrid>
        <w:gridCol w:w="3960"/>
        <w:gridCol w:w="1440"/>
        <w:gridCol w:w="1440"/>
        <w:gridCol w:w="1440"/>
      </w:tblGrid>
      <w:tr w:rsidR="003F0216" w:rsidRPr="003F0216" w:rsidTr="00730E64">
        <w:trPr>
          <w:trHeight w:val="290"/>
        </w:trPr>
        <w:tc>
          <w:tcPr>
            <w:tcW w:w="3960" w:type="dxa"/>
            <w:tcBorders>
              <w:top w:val="single" w:sz="8" w:space="0" w:color="auto"/>
              <w:left w:val="single" w:sz="8" w:space="0" w:color="auto"/>
              <w:bottom w:val="nil"/>
              <w:right w:val="single" w:sz="8" w:space="0" w:color="auto"/>
            </w:tcBorders>
            <w:shd w:val="clear" w:color="000000" w:fill="D9D9D9"/>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Capital Expenditure</w:t>
            </w:r>
          </w:p>
        </w:tc>
        <w:tc>
          <w:tcPr>
            <w:tcW w:w="1440" w:type="dxa"/>
            <w:tcBorders>
              <w:top w:val="single" w:sz="8" w:space="0" w:color="auto"/>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2018/19</w:t>
            </w:r>
          </w:p>
        </w:tc>
        <w:tc>
          <w:tcPr>
            <w:tcW w:w="1440" w:type="dxa"/>
            <w:tcBorders>
              <w:top w:val="single" w:sz="8" w:space="0" w:color="auto"/>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2018/19</w:t>
            </w:r>
          </w:p>
        </w:tc>
        <w:tc>
          <w:tcPr>
            <w:tcW w:w="1440" w:type="dxa"/>
            <w:tcBorders>
              <w:top w:val="single" w:sz="8" w:space="0" w:color="auto"/>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Variation</w:t>
            </w:r>
          </w:p>
        </w:tc>
      </w:tr>
      <w:tr w:rsidR="003F0216" w:rsidRPr="003F0216" w:rsidTr="00730E64">
        <w:trPr>
          <w:trHeight w:val="560"/>
        </w:trPr>
        <w:tc>
          <w:tcPr>
            <w:tcW w:w="3960" w:type="dxa"/>
            <w:tcBorders>
              <w:top w:val="nil"/>
              <w:left w:val="single" w:sz="8" w:space="0" w:color="auto"/>
              <w:bottom w:val="nil"/>
              <w:right w:val="single" w:sz="8" w:space="0" w:color="auto"/>
            </w:tcBorders>
            <w:shd w:val="clear" w:color="000000" w:fill="D9D9D9"/>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 </w:t>
            </w:r>
          </w:p>
        </w:tc>
        <w:tc>
          <w:tcPr>
            <w:tcW w:w="1440" w:type="dxa"/>
            <w:tcBorders>
              <w:top w:val="nil"/>
              <w:left w:val="nil"/>
              <w:bottom w:val="nil"/>
              <w:right w:val="single" w:sz="8" w:space="0" w:color="auto"/>
            </w:tcBorders>
            <w:shd w:val="clear" w:color="000000" w:fill="D9D9D9"/>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Original Budget</w:t>
            </w:r>
          </w:p>
        </w:tc>
        <w:tc>
          <w:tcPr>
            <w:tcW w:w="1440" w:type="dxa"/>
            <w:tcBorders>
              <w:top w:val="nil"/>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Actual</w:t>
            </w:r>
          </w:p>
        </w:tc>
        <w:tc>
          <w:tcPr>
            <w:tcW w:w="1440" w:type="dxa"/>
            <w:tcBorders>
              <w:top w:val="nil"/>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 </w:t>
            </w:r>
          </w:p>
        </w:tc>
      </w:tr>
      <w:tr w:rsidR="003F0216" w:rsidRPr="003F0216" w:rsidTr="00730E64">
        <w:trPr>
          <w:trHeight w:val="300"/>
        </w:trPr>
        <w:tc>
          <w:tcPr>
            <w:tcW w:w="3960" w:type="dxa"/>
            <w:tcBorders>
              <w:top w:val="nil"/>
              <w:left w:val="single" w:sz="8" w:space="0" w:color="auto"/>
              <w:bottom w:val="single" w:sz="8" w:space="0" w:color="auto"/>
              <w:right w:val="single" w:sz="8" w:space="0" w:color="auto"/>
            </w:tcBorders>
            <w:shd w:val="clear" w:color="000000" w:fill="D9D9D9"/>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£'000</w:t>
            </w:r>
          </w:p>
        </w:tc>
        <w:tc>
          <w:tcPr>
            <w:tcW w:w="1440" w:type="dxa"/>
            <w:tcBorders>
              <w:top w:val="nil"/>
              <w:left w:val="nil"/>
              <w:bottom w:val="single" w:sz="8" w:space="0" w:color="auto"/>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£'000</w:t>
            </w:r>
          </w:p>
        </w:tc>
        <w:tc>
          <w:tcPr>
            <w:tcW w:w="1440" w:type="dxa"/>
            <w:tcBorders>
              <w:top w:val="nil"/>
              <w:left w:val="nil"/>
              <w:bottom w:val="single" w:sz="8" w:space="0" w:color="auto"/>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£'000</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Non-HRA Capital Expenditure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65,836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28,944</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-36,892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HRA Capital Expenditure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19,390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13,589</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-5,801</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Total Capital Expenditure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85,226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42,533</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-42,693</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Resourced by:</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Developer Contributions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3,139</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3,170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31</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Capital Receipts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19,374</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19,592</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218</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Capital Grants and contributions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1,811</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2,635</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824</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Major Repairs Reserve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13,958</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7,216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-6,742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Prudential Borrowing</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35,082</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4,180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-30,902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Revenue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11,862</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5,740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-6,122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 </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Total Capital Resources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85,226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42,533</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-42,693</w:t>
            </w:r>
          </w:p>
        </w:tc>
      </w:tr>
      <w:tr w:rsidR="003F0216" w:rsidRPr="003F0216" w:rsidTr="00730E64">
        <w:trPr>
          <w:trHeight w:val="300"/>
        </w:trPr>
        <w:tc>
          <w:tcPr>
            <w:tcW w:w="3960" w:type="dxa"/>
            <w:tcBorders>
              <w:top w:val="nil"/>
              <w:left w:val="single" w:sz="8" w:space="0" w:color="auto"/>
              <w:bottom w:val="single" w:sz="8" w:space="0" w:color="auto"/>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 </w:t>
            </w:r>
          </w:p>
        </w:tc>
      </w:tr>
    </w:tbl>
    <w:p w:rsidR="003F0216" w:rsidRDefault="003F0216" w:rsidP="00431642">
      <w:pPr>
        <w:spacing w:after="0"/>
        <w:ind w:firstLine="720"/>
        <w:rPr>
          <w:b/>
          <w:color w:val="auto"/>
          <w:lang w:eastAsia="en-US"/>
        </w:rPr>
      </w:pPr>
    </w:p>
    <w:p w:rsidR="00120C66" w:rsidRDefault="00120C66" w:rsidP="00CB07F2">
      <w:pPr>
        <w:spacing w:after="0"/>
        <w:ind w:left="720"/>
        <w:rPr>
          <w:color w:val="auto"/>
          <w:lang w:eastAsia="en-US"/>
        </w:rPr>
      </w:pPr>
      <w:r>
        <w:rPr>
          <w:color w:val="auto"/>
          <w:lang w:eastAsia="en-US"/>
        </w:rPr>
        <w:t xml:space="preserve">Much of the variation to the original budget relates to slippage in the programme the resources for which will be moved into funding the expenditure in future years. </w:t>
      </w:r>
    </w:p>
    <w:p w:rsidR="00120C66" w:rsidRPr="00CB07F2" w:rsidRDefault="00120C66" w:rsidP="00CB07F2">
      <w:pPr>
        <w:spacing w:after="0"/>
        <w:ind w:left="720"/>
        <w:rPr>
          <w:color w:val="auto"/>
          <w:lang w:eastAsia="en-US"/>
        </w:rPr>
      </w:pPr>
    </w:p>
    <w:p w:rsidR="00100D19" w:rsidRPr="00F94D74" w:rsidRDefault="00100D19" w:rsidP="005615B3">
      <w:pPr>
        <w:spacing w:after="0"/>
        <w:rPr>
          <w:b/>
          <w:i/>
        </w:rPr>
      </w:pPr>
      <w:r w:rsidRPr="00100D19">
        <w:rPr>
          <w:b/>
        </w:rPr>
        <w:t>The Council’s Overall Borrowing Need</w:t>
      </w:r>
    </w:p>
    <w:p w:rsidR="000B39A5" w:rsidRDefault="00100D19" w:rsidP="00100D19">
      <w:pPr>
        <w:pStyle w:val="bParagraphtext"/>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C252AE">
      <w:pPr>
        <w:numPr>
          <w:ilvl w:val="1"/>
          <w:numId w:val="37"/>
        </w:numPr>
        <w:tabs>
          <w:tab w:val="clear" w:pos="1260"/>
          <w:tab w:val="num" w:pos="1134"/>
        </w:tabs>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Pr="003F55A6">
        <w:t xml:space="preserve">rovision (VRP) </w:t>
      </w:r>
    </w:p>
    <w:p w:rsidR="00730E64" w:rsidRDefault="00730E64">
      <w:pPr>
        <w:spacing w:after="0"/>
      </w:pPr>
      <w:r>
        <w:br w:type="page"/>
      </w:r>
    </w:p>
    <w:p w:rsidR="00100D19" w:rsidRDefault="00100D19" w:rsidP="00C252AE">
      <w:pPr>
        <w:pStyle w:val="bParagraphtext"/>
      </w:pPr>
      <w:r w:rsidRPr="00100D19">
        <w:lastRenderedPageBreak/>
        <w:t>Table 2 below s</w:t>
      </w:r>
      <w:r w:rsidR="00A50A6C">
        <w:t xml:space="preserve">hows the Council’s CFR as at </w:t>
      </w:r>
      <w:r w:rsidRPr="00100D19">
        <w:t xml:space="preserve"> 31</w:t>
      </w:r>
      <w:r w:rsidR="00333D5B">
        <w:rPr>
          <w:vertAlign w:val="superscript"/>
        </w:rPr>
        <w:t xml:space="preserve"> </w:t>
      </w:r>
      <w:r w:rsidRPr="00100D19">
        <w:t xml:space="preserve">March </w:t>
      </w:r>
      <w:r w:rsidR="00F85B7F" w:rsidRPr="00100D19">
        <w:t>201</w:t>
      </w:r>
      <w:r w:rsidR="007E6A43">
        <w:t>9</w:t>
      </w:r>
      <w:r w:rsidRPr="00100D19">
        <w:t>,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431642" w:rsidRDefault="00100D19" w:rsidP="00100D19">
      <w:pPr>
        <w:spacing w:after="0"/>
        <w:ind w:left="426"/>
        <w:rPr>
          <w:b/>
          <w:color w:val="auto"/>
          <w:lang w:eastAsia="en-US"/>
        </w:rPr>
      </w:pPr>
      <w:r w:rsidRPr="00431642">
        <w:rPr>
          <w:b/>
          <w:color w:val="auto"/>
          <w:lang w:eastAsia="en-US"/>
        </w:rPr>
        <w:t>Table 2</w:t>
      </w:r>
    </w:p>
    <w:p w:rsidR="003F0216" w:rsidRDefault="007E6A43" w:rsidP="00183488">
      <w:pPr>
        <w:spacing w:after="0"/>
        <w:rPr>
          <w:b/>
          <w:color w:val="auto"/>
          <w:lang w:eastAsia="en-US"/>
        </w:rPr>
      </w:pPr>
      <w:r>
        <w:rPr>
          <w:b/>
          <w:color w:val="auto"/>
          <w:lang w:eastAsia="en-US"/>
        </w:rPr>
        <w:tab/>
      </w:r>
    </w:p>
    <w:tbl>
      <w:tblPr>
        <w:tblStyle w:val="TableGrid"/>
        <w:tblW w:w="0" w:type="auto"/>
        <w:tblInd w:w="720" w:type="dxa"/>
        <w:tblLook w:val="04A0" w:firstRow="1" w:lastRow="0" w:firstColumn="1" w:lastColumn="0" w:noHBand="0" w:noVBand="1"/>
      </w:tblPr>
      <w:tblGrid>
        <w:gridCol w:w="3960"/>
        <w:gridCol w:w="1440"/>
        <w:gridCol w:w="1440"/>
        <w:gridCol w:w="1440"/>
      </w:tblGrid>
      <w:tr w:rsidR="003F0216" w:rsidRPr="003F0216" w:rsidTr="00730E64">
        <w:trPr>
          <w:trHeight w:val="560"/>
        </w:trPr>
        <w:tc>
          <w:tcPr>
            <w:tcW w:w="3960" w:type="dxa"/>
            <w:noWrap/>
            <w:hideMark/>
          </w:tcPr>
          <w:p w:rsidR="003F0216" w:rsidRPr="003F0216" w:rsidRDefault="003F0216">
            <w:pPr>
              <w:spacing w:after="0"/>
              <w:rPr>
                <w:b/>
                <w:bCs/>
                <w:color w:val="auto"/>
                <w:lang w:eastAsia="en-US"/>
              </w:rPr>
            </w:pPr>
            <w:r w:rsidRPr="003F0216">
              <w:rPr>
                <w:b/>
                <w:bCs/>
                <w:color w:val="auto"/>
                <w:lang w:eastAsia="en-US"/>
              </w:rPr>
              <w:t>CFR</w:t>
            </w:r>
          </w:p>
        </w:tc>
        <w:tc>
          <w:tcPr>
            <w:tcW w:w="1440" w:type="dxa"/>
            <w:hideMark/>
          </w:tcPr>
          <w:p w:rsidR="003F0216" w:rsidRPr="003F0216" w:rsidRDefault="00333D5B" w:rsidP="00CB07F2">
            <w:pPr>
              <w:spacing w:after="0"/>
              <w:jc w:val="center"/>
              <w:rPr>
                <w:b/>
                <w:bCs/>
                <w:color w:val="auto"/>
                <w:lang w:eastAsia="en-US"/>
              </w:rPr>
            </w:pPr>
            <w:r>
              <w:rPr>
                <w:b/>
                <w:bCs/>
                <w:color w:val="auto"/>
                <w:lang w:eastAsia="en-US"/>
              </w:rPr>
              <w:t>31</w:t>
            </w:r>
            <w:r w:rsidR="003F0216" w:rsidRPr="003F0216">
              <w:rPr>
                <w:b/>
                <w:bCs/>
                <w:color w:val="auto"/>
                <w:lang w:eastAsia="en-US"/>
              </w:rPr>
              <w:t xml:space="preserve"> March 2018</w:t>
            </w:r>
          </w:p>
        </w:tc>
        <w:tc>
          <w:tcPr>
            <w:tcW w:w="1440" w:type="dxa"/>
            <w:hideMark/>
          </w:tcPr>
          <w:p w:rsidR="003F0216" w:rsidRPr="003F0216" w:rsidRDefault="00333D5B" w:rsidP="00CB07F2">
            <w:pPr>
              <w:spacing w:after="0"/>
              <w:jc w:val="center"/>
              <w:rPr>
                <w:b/>
                <w:bCs/>
                <w:color w:val="auto"/>
                <w:lang w:eastAsia="en-US"/>
              </w:rPr>
            </w:pPr>
            <w:r>
              <w:rPr>
                <w:b/>
                <w:bCs/>
                <w:color w:val="auto"/>
                <w:lang w:eastAsia="en-US"/>
              </w:rPr>
              <w:t>31</w:t>
            </w:r>
            <w:r w:rsidR="003F0216" w:rsidRPr="003F0216">
              <w:rPr>
                <w:b/>
                <w:bCs/>
                <w:color w:val="auto"/>
                <w:lang w:eastAsia="en-US"/>
              </w:rPr>
              <w:t xml:space="preserve"> March 2019</w:t>
            </w:r>
          </w:p>
        </w:tc>
        <w:tc>
          <w:tcPr>
            <w:tcW w:w="1440" w:type="dxa"/>
            <w:noWrap/>
            <w:hideMark/>
          </w:tcPr>
          <w:p w:rsidR="003F0216" w:rsidRPr="003F0216" w:rsidRDefault="003F0216" w:rsidP="00CB07F2">
            <w:pPr>
              <w:spacing w:after="0"/>
              <w:jc w:val="center"/>
              <w:rPr>
                <w:b/>
                <w:bCs/>
                <w:color w:val="auto"/>
                <w:lang w:eastAsia="en-US"/>
              </w:rPr>
            </w:pPr>
            <w:r w:rsidRPr="003F0216">
              <w:rPr>
                <w:b/>
                <w:bCs/>
                <w:color w:val="auto"/>
                <w:lang w:eastAsia="en-US"/>
              </w:rPr>
              <w:t>Variation</w:t>
            </w:r>
          </w:p>
        </w:tc>
      </w:tr>
      <w:tr w:rsidR="003F0216" w:rsidRPr="003F0216" w:rsidTr="00730E64">
        <w:trPr>
          <w:trHeight w:val="290"/>
        </w:trPr>
        <w:tc>
          <w:tcPr>
            <w:tcW w:w="3960" w:type="dxa"/>
            <w:noWrap/>
            <w:hideMark/>
          </w:tcPr>
          <w:p w:rsidR="003F0216" w:rsidRPr="003F0216" w:rsidRDefault="003F0216" w:rsidP="003F0216">
            <w:pPr>
              <w:spacing w:after="0"/>
              <w:rPr>
                <w:b/>
                <w:bCs/>
                <w:color w:val="auto"/>
                <w:lang w:eastAsia="en-US"/>
              </w:rPr>
            </w:pPr>
            <w:r w:rsidRPr="003F0216">
              <w:rPr>
                <w:b/>
                <w:bCs/>
                <w:color w:val="auto"/>
                <w:lang w:eastAsia="en-US"/>
              </w:rPr>
              <w:t> </w:t>
            </w:r>
          </w:p>
        </w:tc>
        <w:tc>
          <w:tcPr>
            <w:tcW w:w="1440" w:type="dxa"/>
            <w:noWrap/>
            <w:hideMark/>
          </w:tcPr>
          <w:p w:rsidR="003F0216" w:rsidRPr="003F0216" w:rsidRDefault="003F0216" w:rsidP="00CB07F2">
            <w:pPr>
              <w:spacing w:after="0"/>
              <w:jc w:val="center"/>
              <w:rPr>
                <w:b/>
                <w:bCs/>
                <w:color w:val="auto"/>
                <w:lang w:eastAsia="en-US"/>
              </w:rPr>
            </w:pPr>
            <w:r w:rsidRPr="003F0216">
              <w:rPr>
                <w:b/>
                <w:bCs/>
                <w:color w:val="auto"/>
                <w:lang w:eastAsia="en-US"/>
              </w:rPr>
              <w:t>Estimate</w:t>
            </w:r>
          </w:p>
        </w:tc>
        <w:tc>
          <w:tcPr>
            <w:tcW w:w="1440" w:type="dxa"/>
            <w:noWrap/>
            <w:hideMark/>
          </w:tcPr>
          <w:p w:rsidR="003F0216" w:rsidRPr="003F0216" w:rsidRDefault="003F0216" w:rsidP="00CB07F2">
            <w:pPr>
              <w:spacing w:after="0"/>
              <w:jc w:val="center"/>
              <w:rPr>
                <w:b/>
                <w:bCs/>
                <w:color w:val="auto"/>
                <w:lang w:eastAsia="en-US"/>
              </w:rPr>
            </w:pPr>
            <w:r w:rsidRPr="003F0216">
              <w:rPr>
                <w:b/>
                <w:bCs/>
                <w:color w:val="auto"/>
                <w:lang w:eastAsia="en-US"/>
              </w:rPr>
              <w:t>Actual</w:t>
            </w:r>
          </w:p>
        </w:tc>
        <w:tc>
          <w:tcPr>
            <w:tcW w:w="1440" w:type="dxa"/>
            <w:noWrap/>
            <w:hideMark/>
          </w:tcPr>
          <w:p w:rsidR="003F0216" w:rsidRPr="003F0216" w:rsidRDefault="003F0216" w:rsidP="00CB07F2">
            <w:pPr>
              <w:spacing w:after="0"/>
              <w:jc w:val="center"/>
              <w:rPr>
                <w:b/>
                <w:bCs/>
                <w:color w:val="auto"/>
                <w:lang w:eastAsia="en-US"/>
              </w:rPr>
            </w:pPr>
          </w:p>
        </w:tc>
      </w:tr>
      <w:tr w:rsidR="003F0216" w:rsidRPr="003F0216" w:rsidTr="00730E64">
        <w:trPr>
          <w:trHeight w:val="300"/>
        </w:trPr>
        <w:tc>
          <w:tcPr>
            <w:tcW w:w="3960" w:type="dxa"/>
            <w:noWrap/>
            <w:hideMark/>
          </w:tcPr>
          <w:p w:rsidR="003F0216" w:rsidRPr="003F0216" w:rsidRDefault="003F0216" w:rsidP="003F0216">
            <w:pPr>
              <w:spacing w:after="0"/>
              <w:rPr>
                <w:b/>
                <w:bCs/>
                <w:color w:val="auto"/>
                <w:lang w:eastAsia="en-US"/>
              </w:rPr>
            </w:pPr>
            <w:r w:rsidRPr="003F0216">
              <w:rPr>
                <w:b/>
                <w:bCs/>
                <w:color w:val="auto"/>
                <w:lang w:eastAsia="en-US"/>
              </w:rPr>
              <w:t> </w:t>
            </w:r>
          </w:p>
        </w:tc>
        <w:tc>
          <w:tcPr>
            <w:tcW w:w="1440" w:type="dxa"/>
            <w:noWrap/>
            <w:hideMark/>
          </w:tcPr>
          <w:p w:rsidR="003F0216" w:rsidRPr="003F0216" w:rsidRDefault="003F0216" w:rsidP="003F0216">
            <w:pPr>
              <w:spacing w:after="0"/>
              <w:rPr>
                <w:b/>
                <w:bCs/>
                <w:color w:val="auto"/>
                <w:lang w:eastAsia="en-US"/>
              </w:rPr>
            </w:pPr>
            <w:r w:rsidRPr="003F0216">
              <w:rPr>
                <w:b/>
                <w:bCs/>
                <w:color w:val="auto"/>
                <w:lang w:eastAsia="en-US"/>
              </w:rPr>
              <w:t>£'000</w:t>
            </w:r>
          </w:p>
        </w:tc>
        <w:tc>
          <w:tcPr>
            <w:tcW w:w="1440" w:type="dxa"/>
            <w:noWrap/>
            <w:hideMark/>
          </w:tcPr>
          <w:p w:rsidR="003F0216" w:rsidRPr="003F0216" w:rsidRDefault="003F0216" w:rsidP="003F0216">
            <w:pPr>
              <w:spacing w:after="0"/>
              <w:rPr>
                <w:b/>
                <w:bCs/>
                <w:color w:val="auto"/>
                <w:lang w:eastAsia="en-US"/>
              </w:rPr>
            </w:pPr>
            <w:r w:rsidRPr="003F0216">
              <w:rPr>
                <w:b/>
                <w:bCs/>
                <w:color w:val="auto"/>
                <w:lang w:eastAsia="en-US"/>
              </w:rPr>
              <w:t>£'000</w:t>
            </w:r>
          </w:p>
        </w:tc>
        <w:tc>
          <w:tcPr>
            <w:tcW w:w="1440" w:type="dxa"/>
            <w:noWrap/>
            <w:hideMark/>
          </w:tcPr>
          <w:p w:rsidR="003F0216" w:rsidRPr="003F0216" w:rsidRDefault="003F0216" w:rsidP="003F0216">
            <w:pPr>
              <w:spacing w:after="0"/>
              <w:rPr>
                <w:b/>
                <w:bCs/>
                <w:color w:val="auto"/>
                <w:lang w:eastAsia="en-US"/>
              </w:rPr>
            </w:pPr>
            <w:r w:rsidRPr="003F0216">
              <w:rPr>
                <w:b/>
                <w:bCs/>
                <w:color w:val="auto"/>
                <w:lang w:eastAsia="en-US"/>
              </w:rPr>
              <w:t>£'000</w:t>
            </w:r>
          </w:p>
        </w:tc>
      </w:tr>
      <w:tr w:rsidR="003F0216" w:rsidRPr="00120C66" w:rsidTr="00730E64">
        <w:trPr>
          <w:trHeight w:val="290"/>
        </w:trPr>
        <w:tc>
          <w:tcPr>
            <w:tcW w:w="3960" w:type="dxa"/>
            <w:noWrap/>
            <w:hideMark/>
          </w:tcPr>
          <w:p w:rsidR="003F0216" w:rsidRPr="00120C66" w:rsidRDefault="003F0216" w:rsidP="003F0216">
            <w:pPr>
              <w:spacing w:after="0"/>
              <w:rPr>
                <w:bCs/>
                <w:color w:val="auto"/>
                <w:lang w:eastAsia="en-US"/>
              </w:rPr>
            </w:pPr>
            <w:r w:rsidRPr="00120C66">
              <w:rPr>
                <w:bCs/>
                <w:color w:val="auto"/>
                <w:lang w:eastAsia="en-US"/>
              </w:rPr>
              <w:t>Opening Balance</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238,792</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223,143</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-15,649</w:t>
            </w:r>
          </w:p>
        </w:tc>
      </w:tr>
      <w:tr w:rsidR="003F0216" w:rsidRPr="00120C66" w:rsidTr="00730E64">
        <w:trPr>
          <w:trHeight w:val="290"/>
        </w:trPr>
        <w:tc>
          <w:tcPr>
            <w:tcW w:w="3960" w:type="dxa"/>
            <w:noWrap/>
            <w:hideMark/>
          </w:tcPr>
          <w:p w:rsidR="003F0216" w:rsidRPr="00120C66" w:rsidRDefault="003F0216" w:rsidP="003F0216">
            <w:pPr>
              <w:spacing w:after="0"/>
              <w:rPr>
                <w:color w:val="auto"/>
                <w:lang w:eastAsia="en-US"/>
              </w:rPr>
            </w:pPr>
            <w:r w:rsidRPr="00120C66">
              <w:rPr>
                <w:color w:val="auto"/>
                <w:lang w:eastAsia="en-US"/>
              </w:rPr>
              <w:t>Prudential Borrowing</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35,082</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4,180</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-30,902</w:t>
            </w:r>
          </w:p>
        </w:tc>
      </w:tr>
      <w:tr w:rsidR="003F0216" w:rsidRPr="00120C66" w:rsidTr="00730E64">
        <w:trPr>
          <w:trHeight w:val="290"/>
        </w:trPr>
        <w:tc>
          <w:tcPr>
            <w:tcW w:w="3960" w:type="dxa"/>
            <w:noWrap/>
            <w:hideMark/>
          </w:tcPr>
          <w:p w:rsidR="003F0216" w:rsidRPr="00120C66" w:rsidRDefault="003F0216" w:rsidP="003F0216">
            <w:pPr>
              <w:spacing w:after="0"/>
              <w:rPr>
                <w:color w:val="auto"/>
                <w:lang w:eastAsia="en-US"/>
              </w:rPr>
            </w:pPr>
            <w:r w:rsidRPr="00120C66">
              <w:rPr>
                <w:color w:val="auto"/>
                <w:lang w:eastAsia="en-US"/>
              </w:rPr>
              <w:t>Minimum Revenue Provision</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-63</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-110</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-47</w:t>
            </w:r>
          </w:p>
        </w:tc>
      </w:tr>
      <w:tr w:rsidR="003F0216" w:rsidRPr="00120C66" w:rsidTr="00730E64">
        <w:trPr>
          <w:trHeight w:val="290"/>
        </w:trPr>
        <w:tc>
          <w:tcPr>
            <w:tcW w:w="3960" w:type="dxa"/>
            <w:noWrap/>
            <w:hideMark/>
          </w:tcPr>
          <w:p w:rsidR="003F0216" w:rsidRPr="00120C66" w:rsidRDefault="003F0216" w:rsidP="003F0216">
            <w:pPr>
              <w:spacing w:after="0"/>
              <w:rPr>
                <w:color w:val="auto"/>
                <w:lang w:eastAsia="en-US"/>
              </w:rPr>
            </w:pPr>
            <w:r w:rsidRPr="00120C66">
              <w:rPr>
                <w:color w:val="auto"/>
                <w:lang w:eastAsia="en-US"/>
              </w:rPr>
              <w:t> </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 </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 </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 </w:t>
            </w:r>
          </w:p>
        </w:tc>
      </w:tr>
      <w:tr w:rsidR="003F0216" w:rsidRPr="00120C66" w:rsidTr="00730E64">
        <w:trPr>
          <w:trHeight w:val="290"/>
        </w:trPr>
        <w:tc>
          <w:tcPr>
            <w:tcW w:w="3960" w:type="dxa"/>
            <w:noWrap/>
            <w:hideMark/>
          </w:tcPr>
          <w:p w:rsidR="003F0216" w:rsidRPr="00120C66" w:rsidRDefault="003F0216" w:rsidP="003F0216">
            <w:pPr>
              <w:spacing w:after="0"/>
              <w:rPr>
                <w:b/>
                <w:bCs/>
                <w:color w:val="auto"/>
                <w:lang w:eastAsia="en-US"/>
              </w:rPr>
            </w:pPr>
            <w:r w:rsidRPr="00120C66">
              <w:rPr>
                <w:b/>
                <w:bCs/>
                <w:color w:val="auto"/>
                <w:lang w:eastAsia="en-US"/>
              </w:rPr>
              <w:t>CFR Closing Balance</w:t>
            </w:r>
          </w:p>
        </w:tc>
        <w:tc>
          <w:tcPr>
            <w:tcW w:w="1440" w:type="dxa"/>
            <w:noWrap/>
            <w:hideMark/>
          </w:tcPr>
          <w:p w:rsidR="003F0216" w:rsidRPr="00120C66" w:rsidRDefault="003F0216" w:rsidP="00CB07F2">
            <w:pPr>
              <w:spacing w:after="0"/>
              <w:jc w:val="right"/>
              <w:rPr>
                <w:b/>
                <w:bCs/>
                <w:color w:val="auto"/>
                <w:lang w:eastAsia="en-US"/>
              </w:rPr>
            </w:pPr>
            <w:r w:rsidRPr="00120C66">
              <w:rPr>
                <w:b/>
                <w:bCs/>
                <w:color w:val="auto"/>
                <w:lang w:eastAsia="en-US"/>
              </w:rPr>
              <w:t>273,811</w:t>
            </w:r>
          </w:p>
        </w:tc>
        <w:tc>
          <w:tcPr>
            <w:tcW w:w="1440" w:type="dxa"/>
            <w:noWrap/>
            <w:hideMark/>
          </w:tcPr>
          <w:p w:rsidR="003F0216" w:rsidRPr="00120C66" w:rsidRDefault="003F0216" w:rsidP="00CB07F2">
            <w:pPr>
              <w:spacing w:after="0"/>
              <w:jc w:val="right"/>
              <w:rPr>
                <w:b/>
                <w:bCs/>
                <w:color w:val="auto"/>
                <w:lang w:eastAsia="en-US"/>
              </w:rPr>
            </w:pPr>
            <w:r w:rsidRPr="00120C66">
              <w:rPr>
                <w:b/>
                <w:bCs/>
                <w:color w:val="auto"/>
                <w:lang w:eastAsia="en-US"/>
              </w:rPr>
              <w:t>227,213</w:t>
            </w:r>
          </w:p>
        </w:tc>
        <w:tc>
          <w:tcPr>
            <w:tcW w:w="1440" w:type="dxa"/>
            <w:noWrap/>
            <w:hideMark/>
          </w:tcPr>
          <w:p w:rsidR="003F0216" w:rsidRPr="00120C66" w:rsidRDefault="003F0216" w:rsidP="00CB07F2">
            <w:pPr>
              <w:spacing w:after="0"/>
              <w:jc w:val="right"/>
              <w:rPr>
                <w:b/>
                <w:bCs/>
                <w:color w:val="auto"/>
                <w:lang w:eastAsia="en-US"/>
              </w:rPr>
            </w:pPr>
            <w:r w:rsidRPr="00120C66">
              <w:rPr>
                <w:b/>
                <w:bCs/>
                <w:color w:val="auto"/>
                <w:lang w:eastAsia="en-US"/>
              </w:rPr>
              <w:t>-46,598</w:t>
            </w:r>
          </w:p>
        </w:tc>
      </w:tr>
      <w:tr w:rsidR="003D23A8" w:rsidRPr="00120C66" w:rsidTr="00730E64">
        <w:trPr>
          <w:trHeight w:val="290"/>
        </w:trPr>
        <w:tc>
          <w:tcPr>
            <w:tcW w:w="3960" w:type="dxa"/>
            <w:noWrap/>
          </w:tcPr>
          <w:p w:rsidR="003D23A8" w:rsidRPr="00120C66" w:rsidRDefault="003D23A8" w:rsidP="003F0216">
            <w:pPr>
              <w:spacing w:after="0"/>
              <w:rPr>
                <w:bCs/>
                <w:color w:val="auto"/>
                <w:lang w:eastAsia="en-US"/>
              </w:rPr>
            </w:pPr>
            <w:r>
              <w:rPr>
                <w:bCs/>
                <w:color w:val="auto"/>
                <w:lang w:eastAsia="en-US"/>
              </w:rPr>
              <w:t>Consisting of:</w:t>
            </w:r>
          </w:p>
        </w:tc>
        <w:tc>
          <w:tcPr>
            <w:tcW w:w="1440" w:type="dxa"/>
            <w:noWrap/>
          </w:tcPr>
          <w:p w:rsidR="003D23A8" w:rsidRPr="00120C66" w:rsidRDefault="003D23A8" w:rsidP="00120C66">
            <w:pPr>
              <w:spacing w:after="0"/>
              <w:jc w:val="right"/>
              <w:rPr>
                <w:bCs/>
                <w:color w:val="auto"/>
                <w:lang w:eastAsia="en-US"/>
              </w:rPr>
            </w:pPr>
          </w:p>
        </w:tc>
        <w:tc>
          <w:tcPr>
            <w:tcW w:w="1440" w:type="dxa"/>
            <w:noWrap/>
          </w:tcPr>
          <w:p w:rsidR="003D23A8" w:rsidRPr="00120C66" w:rsidRDefault="003D23A8" w:rsidP="00120C66">
            <w:pPr>
              <w:spacing w:after="0"/>
              <w:jc w:val="right"/>
              <w:rPr>
                <w:bCs/>
                <w:color w:val="auto"/>
                <w:lang w:eastAsia="en-US"/>
              </w:rPr>
            </w:pPr>
          </w:p>
        </w:tc>
        <w:tc>
          <w:tcPr>
            <w:tcW w:w="1440" w:type="dxa"/>
            <w:noWrap/>
          </w:tcPr>
          <w:p w:rsidR="003D23A8" w:rsidRPr="00120C66" w:rsidRDefault="003D23A8" w:rsidP="00120C66">
            <w:pPr>
              <w:spacing w:after="0"/>
              <w:jc w:val="right"/>
              <w:rPr>
                <w:bCs/>
                <w:color w:val="auto"/>
                <w:lang w:eastAsia="en-US"/>
              </w:rPr>
            </w:pPr>
          </w:p>
        </w:tc>
      </w:tr>
      <w:tr w:rsidR="003F0216" w:rsidRPr="00120C66" w:rsidTr="00730E64">
        <w:trPr>
          <w:trHeight w:val="290"/>
        </w:trPr>
        <w:tc>
          <w:tcPr>
            <w:tcW w:w="3960" w:type="dxa"/>
            <w:noWrap/>
            <w:hideMark/>
          </w:tcPr>
          <w:p w:rsidR="003F0216" w:rsidRPr="00120C66" w:rsidRDefault="003F0216" w:rsidP="003F0216">
            <w:pPr>
              <w:spacing w:after="0"/>
              <w:rPr>
                <w:bCs/>
                <w:color w:val="auto"/>
                <w:lang w:eastAsia="en-US"/>
              </w:rPr>
            </w:pPr>
            <w:r w:rsidRPr="00120C66">
              <w:rPr>
                <w:bCs/>
                <w:color w:val="auto"/>
                <w:lang w:eastAsia="en-US"/>
              </w:rPr>
              <w:t>External Borrowing</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198,528</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198,528</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0</w:t>
            </w:r>
          </w:p>
        </w:tc>
      </w:tr>
      <w:tr w:rsidR="003F0216" w:rsidRPr="00120C66" w:rsidTr="00730E64">
        <w:trPr>
          <w:trHeight w:val="300"/>
        </w:trPr>
        <w:tc>
          <w:tcPr>
            <w:tcW w:w="3960" w:type="dxa"/>
            <w:noWrap/>
            <w:hideMark/>
          </w:tcPr>
          <w:p w:rsidR="003F0216" w:rsidRPr="00120C66" w:rsidRDefault="003F0216" w:rsidP="003F0216">
            <w:pPr>
              <w:spacing w:after="0"/>
              <w:rPr>
                <w:bCs/>
                <w:color w:val="auto"/>
                <w:lang w:eastAsia="en-US"/>
              </w:rPr>
            </w:pPr>
            <w:r w:rsidRPr="00120C66">
              <w:rPr>
                <w:bCs/>
                <w:color w:val="auto"/>
                <w:lang w:eastAsia="en-US"/>
              </w:rPr>
              <w:t>Internal Borrowing</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-75,283</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-28,685</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46,598</w:t>
            </w:r>
          </w:p>
        </w:tc>
      </w:tr>
    </w:tbl>
    <w:p w:rsidR="009455E4" w:rsidRPr="00120C66" w:rsidRDefault="009455E4" w:rsidP="00984C38">
      <w:pPr>
        <w:spacing w:after="0"/>
        <w:jc w:val="center"/>
        <w:rPr>
          <w:color w:val="auto"/>
          <w:lang w:eastAsia="en-US"/>
        </w:rPr>
      </w:pPr>
    </w:p>
    <w:p w:rsidR="00100D19" w:rsidRDefault="00100D19" w:rsidP="00100D19">
      <w:pPr>
        <w:pStyle w:val="bParagraphtext"/>
        <w:numPr>
          <w:ilvl w:val="0"/>
          <w:numId w:val="0"/>
        </w:numPr>
        <w:spacing w:after="0"/>
        <w:ind w:left="425"/>
      </w:pPr>
    </w:p>
    <w:p w:rsidR="00377756" w:rsidRDefault="00100D19" w:rsidP="00431642">
      <w:pPr>
        <w:pStyle w:val="bParagraphtext"/>
        <w:numPr>
          <w:ilvl w:val="0"/>
          <w:numId w:val="0"/>
        </w:numPr>
        <w:ind w:left="426"/>
      </w:pPr>
      <w:r w:rsidRPr="00100D19">
        <w:t xml:space="preserve">No new </w:t>
      </w:r>
      <w:r w:rsidR="00B76E64">
        <w:t xml:space="preserve">external </w:t>
      </w:r>
      <w:r w:rsidRPr="00100D19">
        <w:t xml:space="preserve">debt was taken out during </w:t>
      </w:r>
      <w:r w:rsidR="00F85B7F" w:rsidRPr="00100D19">
        <w:t>201</w:t>
      </w:r>
      <w:r w:rsidR="007E6A43">
        <w:t>8</w:t>
      </w:r>
      <w:r w:rsidRPr="00100D19">
        <w:t>/</w:t>
      </w:r>
      <w:r w:rsidR="00F85B7F" w:rsidRPr="00100D19">
        <w:t>1</w:t>
      </w:r>
      <w:r w:rsidR="007E6A43">
        <w:t>9</w:t>
      </w:r>
      <w:r w:rsidR="00F85B7F" w:rsidRPr="00100D19">
        <w:t xml:space="preserve"> </w:t>
      </w:r>
      <w:r w:rsidRPr="00100D19">
        <w:t xml:space="preserve">and as at 31 March </w:t>
      </w:r>
      <w:r w:rsidR="00F85B7F" w:rsidRPr="00100D19">
        <w:t>201</w:t>
      </w:r>
      <w:r w:rsidR="007E6A43">
        <w:t>9</w:t>
      </w:r>
      <w:r w:rsidR="00F85B7F" w:rsidRPr="00100D19">
        <w:t xml:space="preserve"> </w:t>
      </w:r>
      <w:r w:rsidRPr="00100D19">
        <w:t>the Council’s total external debt was £198.5 million.  This is below the CFR and indicates that the Council continues to borrow</w:t>
      </w:r>
      <w:r w:rsidR="00A50A6C">
        <w:t xml:space="preserve"> internally</w:t>
      </w:r>
      <w:r w:rsidR="003D23A8">
        <w:t xml:space="preserve"> from its cash balances. </w:t>
      </w:r>
    </w:p>
    <w:p w:rsidR="007E6A43" w:rsidRDefault="007E6A43" w:rsidP="00431642">
      <w:pPr>
        <w:pStyle w:val="bParagraphtext"/>
        <w:numPr>
          <w:ilvl w:val="0"/>
          <w:numId w:val="0"/>
        </w:numPr>
        <w:ind w:left="426"/>
      </w:pPr>
    </w:p>
    <w:p w:rsidR="00100D19" w:rsidRPr="00F94D74" w:rsidRDefault="00333D5B" w:rsidP="00100D19">
      <w:pPr>
        <w:rPr>
          <w:b/>
          <w:i/>
        </w:rPr>
      </w:pPr>
      <w:r>
        <w:rPr>
          <w:b/>
        </w:rPr>
        <w:t>Treasury Position at 31</w:t>
      </w:r>
      <w:r w:rsidR="00100D19" w:rsidRPr="00100D19">
        <w:rPr>
          <w:b/>
        </w:rPr>
        <w:t xml:space="preserve"> March 201</w:t>
      </w:r>
      <w:r w:rsidR="007E6A43">
        <w:rPr>
          <w:b/>
        </w:rPr>
        <w:t>9</w:t>
      </w:r>
    </w:p>
    <w:p w:rsidR="00100D19" w:rsidRDefault="00100D19" w:rsidP="00100D19">
      <w:pPr>
        <w:pStyle w:val="bParagraphtext"/>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5C3B06">
      <w:pPr>
        <w:numPr>
          <w:ilvl w:val="1"/>
          <w:numId w:val="37"/>
        </w:numPr>
        <w:rPr>
          <w:i/>
        </w:rPr>
      </w:pPr>
      <w:r w:rsidRPr="00737EAE">
        <w:t>Borrowing for future increases in the CFR (borrowing in advance of need</w:t>
      </w:r>
      <w:r w:rsidRPr="00737EAE">
        <w:rPr>
          <w:i/>
        </w:rPr>
        <w:t>)</w:t>
      </w:r>
    </w:p>
    <w:p w:rsidR="00730E64" w:rsidRDefault="00730E64">
      <w:pPr>
        <w:spacing w:after="0"/>
      </w:pPr>
      <w:r>
        <w:br w:type="page"/>
      </w:r>
    </w:p>
    <w:p w:rsidR="00100D19" w:rsidRDefault="00100D19" w:rsidP="005C3B06">
      <w:pPr>
        <w:pStyle w:val="bParagraphtext"/>
      </w:pPr>
      <w:r w:rsidRPr="00100D19">
        <w:lastRenderedPageBreak/>
        <w:t>The Council’s treasury position as at the 31 March 201</w:t>
      </w:r>
      <w:r w:rsidR="007E6A43">
        <w:t>9</w:t>
      </w:r>
      <w:r w:rsidRPr="00100D19">
        <w:t xml:space="preserve"> for both debt and investments, compared with the previous year is set out in Table 3 below:</w:t>
      </w:r>
    </w:p>
    <w:p w:rsidR="00FA020C" w:rsidRDefault="00FA020C" w:rsidP="00100D19">
      <w:pPr>
        <w:pStyle w:val="bParagraphtext"/>
        <w:numPr>
          <w:ilvl w:val="0"/>
          <w:numId w:val="0"/>
        </w:numPr>
        <w:spacing w:after="0"/>
        <w:ind w:left="425"/>
      </w:pPr>
    </w:p>
    <w:p w:rsidR="00100D19" w:rsidRDefault="00100D19" w:rsidP="00100D19">
      <w:pPr>
        <w:spacing w:after="0"/>
        <w:ind w:left="360"/>
        <w:rPr>
          <w:b/>
          <w:color w:val="auto"/>
          <w:lang w:eastAsia="en-US"/>
        </w:rPr>
      </w:pPr>
      <w:r w:rsidRPr="00183488">
        <w:rPr>
          <w:b/>
          <w:color w:val="auto"/>
          <w:lang w:eastAsia="en-US"/>
        </w:rPr>
        <w:t>Table 3</w:t>
      </w:r>
    </w:p>
    <w:tbl>
      <w:tblPr>
        <w:tblW w:w="9220" w:type="dxa"/>
        <w:tblInd w:w="98" w:type="dxa"/>
        <w:tblLook w:val="04A0" w:firstRow="1" w:lastRow="0" w:firstColumn="1" w:lastColumn="0" w:noHBand="0" w:noVBand="1"/>
      </w:tblPr>
      <w:tblGrid>
        <w:gridCol w:w="3780"/>
        <w:gridCol w:w="1246"/>
        <w:gridCol w:w="1474"/>
        <w:gridCol w:w="1246"/>
        <w:gridCol w:w="1474"/>
      </w:tblGrid>
      <w:tr w:rsidR="00226491" w:rsidRPr="00226491" w:rsidTr="00226491">
        <w:trPr>
          <w:trHeight w:val="300"/>
        </w:trPr>
        <w:tc>
          <w:tcPr>
            <w:tcW w:w="3780" w:type="dxa"/>
            <w:tcBorders>
              <w:top w:val="single" w:sz="8" w:space="0" w:color="auto"/>
              <w:left w:val="single" w:sz="8" w:space="0" w:color="auto"/>
              <w:bottom w:val="nil"/>
              <w:right w:val="single" w:sz="8" w:space="0" w:color="auto"/>
            </w:tcBorders>
            <w:shd w:val="clear" w:color="000000" w:fill="D9D9D9"/>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c>
          <w:tcPr>
            <w:tcW w:w="2720" w:type="dxa"/>
            <w:gridSpan w:val="2"/>
            <w:tcBorders>
              <w:top w:val="single" w:sz="8" w:space="0" w:color="auto"/>
              <w:left w:val="nil"/>
              <w:bottom w:val="nil"/>
              <w:right w:val="single" w:sz="8" w:space="0" w:color="000000"/>
            </w:tcBorders>
            <w:shd w:val="clear" w:color="000000" w:fill="D9D9D9"/>
            <w:noWrap/>
            <w:vAlign w:val="center"/>
            <w:hideMark/>
          </w:tcPr>
          <w:p w:rsidR="00226491" w:rsidRPr="00226491" w:rsidRDefault="00333D5B" w:rsidP="00226491">
            <w:pPr>
              <w:spacing w:after="0"/>
              <w:jc w:val="center"/>
              <w:rPr>
                <w:rFonts w:cs="Arial"/>
                <w:b/>
                <w:bCs/>
                <w:color w:val="auto"/>
                <w:sz w:val="22"/>
                <w:szCs w:val="22"/>
              </w:rPr>
            </w:pPr>
            <w:r>
              <w:rPr>
                <w:rFonts w:cs="Arial"/>
                <w:b/>
                <w:bCs/>
                <w:color w:val="auto"/>
                <w:sz w:val="22"/>
                <w:szCs w:val="22"/>
              </w:rPr>
              <w:t>31</w:t>
            </w:r>
            <w:r w:rsidR="00226491" w:rsidRPr="00226491">
              <w:rPr>
                <w:rFonts w:cs="Arial"/>
                <w:b/>
                <w:bCs/>
                <w:color w:val="auto"/>
                <w:sz w:val="22"/>
                <w:szCs w:val="22"/>
              </w:rPr>
              <w:t xml:space="preserve"> March 2018</w:t>
            </w:r>
          </w:p>
        </w:tc>
        <w:tc>
          <w:tcPr>
            <w:tcW w:w="2720" w:type="dxa"/>
            <w:gridSpan w:val="2"/>
            <w:tcBorders>
              <w:top w:val="single" w:sz="8" w:space="0" w:color="auto"/>
              <w:left w:val="nil"/>
              <w:bottom w:val="nil"/>
              <w:right w:val="single" w:sz="8" w:space="0" w:color="000000"/>
            </w:tcBorders>
            <w:shd w:val="clear" w:color="000000" w:fill="D9D9D9"/>
            <w:noWrap/>
            <w:vAlign w:val="center"/>
            <w:hideMark/>
          </w:tcPr>
          <w:p w:rsidR="00226491" w:rsidRPr="00226491" w:rsidRDefault="00333D5B" w:rsidP="00226491">
            <w:pPr>
              <w:spacing w:after="0"/>
              <w:jc w:val="center"/>
              <w:rPr>
                <w:rFonts w:cs="Arial"/>
                <w:b/>
                <w:bCs/>
                <w:color w:val="auto"/>
                <w:sz w:val="22"/>
                <w:szCs w:val="22"/>
              </w:rPr>
            </w:pPr>
            <w:r>
              <w:rPr>
                <w:rFonts w:cs="Arial"/>
                <w:b/>
                <w:bCs/>
                <w:color w:val="auto"/>
                <w:sz w:val="22"/>
                <w:szCs w:val="22"/>
              </w:rPr>
              <w:t>31</w:t>
            </w:r>
            <w:r w:rsidR="00226491" w:rsidRPr="00226491">
              <w:rPr>
                <w:rFonts w:cs="Arial"/>
                <w:b/>
                <w:bCs/>
                <w:color w:val="auto"/>
                <w:sz w:val="22"/>
                <w:szCs w:val="22"/>
              </w:rPr>
              <w:t xml:space="preserve"> March 2019</w:t>
            </w:r>
          </w:p>
        </w:tc>
      </w:tr>
      <w:tr w:rsidR="00226491" w:rsidRPr="00226491" w:rsidTr="00226491">
        <w:trPr>
          <w:trHeight w:val="600"/>
        </w:trPr>
        <w:tc>
          <w:tcPr>
            <w:tcW w:w="3780" w:type="dxa"/>
            <w:tcBorders>
              <w:top w:val="nil"/>
              <w:left w:val="single" w:sz="8" w:space="0" w:color="auto"/>
              <w:bottom w:val="nil"/>
              <w:right w:val="single" w:sz="8" w:space="0" w:color="auto"/>
            </w:tcBorders>
            <w:shd w:val="clear" w:color="000000" w:fill="D9D9D9"/>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Treasury Position</w:t>
            </w:r>
          </w:p>
        </w:tc>
        <w:tc>
          <w:tcPr>
            <w:tcW w:w="1246" w:type="dxa"/>
            <w:tcBorders>
              <w:top w:val="nil"/>
              <w:left w:val="nil"/>
              <w:bottom w:val="nil"/>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Principal</w:t>
            </w:r>
          </w:p>
        </w:tc>
        <w:tc>
          <w:tcPr>
            <w:tcW w:w="1474" w:type="dxa"/>
            <w:tcBorders>
              <w:top w:val="nil"/>
              <w:left w:val="nil"/>
              <w:bottom w:val="nil"/>
              <w:right w:val="single" w:sz="8" w:space="0" w:color="auto"/>
            </w:tcBorders>
            <w:shd w:val="clear" w:color="000000" w:fill="D9D9D9"/>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Average Rate</w:t>
            </w:r>
          </w:p>
        </w:tc>
        <w:tc>
          <w:tcPr>
            <w:tcW w:w="1246" w:type="dxa"/>
            <w:tcBorders>
              <w:top w:val="nil"/>
              <w:left w:val="nil"/>
              <w:bottom w:val="nil"/>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Principal</w:t>
            </w:r>
          </w:p>
        </w:tc>
        <w:tc>
          <w:tcPr>
            <w:tcW w:w="1474" w:type="dxa"/>
            <w:tcBorders>
              <w:top w:val="nil"/>
              <w:left w:val="nil"/>
              <w:bottom w:val="nil"/>
              <w:right w:val="single" w:sz="8" w:space="0" w:color="auto"/>
            </w:tcBorders>
            <w:shd w:val="clear" w:color="000000" w:fill="D9D9D9"/>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Average Rate</w:t>
            </w:r>
          </w:p>
        </w:tc>
      </w:tr>
      <w:tr w:rsidR="00226491" w:rsidRPr="00226491" w:rsidTr="00226491">
        <w:trPr>
          <w:trHeight w:val="315"/>
        </w:trPr>
        <w:tc>
          <w:tcPr>
            <w:tcW w:w="3780" w:type="dxa"/>
            <w:tcBorders>
              <w:top w:val="nil"/>
              <w:left w:val="single" w:sz="8" w:space="0" w:color="auto"/>
              <w:bottom w:val="single" w:sz="8" w:space="0" w:color="auto"/>
              <w:right w:val="single" w:sz="8" w:space="0" w:color="auto"/>
            </w:tcBorders>
            <w:shd w:val="clear" w:color="000000" w:fill="D9D9D9"/>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c>
          <w:tcPr>
            <w:tcW w:w="1246"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£'000</w:t>
            </w:r>
          </w:p>
        </w:tc>
        <w:tc>
          <w:tcPr>
            <w:tcW w:w="1474"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w:t>
            </w:r>
          </w:p>
        </w:tc>
        <w:tc>
          <w:tcPr>
            <w:tcW w:w="1246"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£'000</w:t>
            </w:r>
          </w:p>
        </w:tc>
        <w:tc>
          <w:tcPr>
            <w:tcW w:w="1474"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Borrowing</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Fixed Interest Rate Debt</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3.15</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3.15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Total Debt</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3.15</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3.15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474"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Investments</w:t>
            </w:r>
          </w:p>
        </w:tc>
        <w:tc>
          <w:tcPr>
            <w:tcW w:w="1246"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474"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Fixed Interest Investments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61,000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0.63</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7</w:t>
            </w:r>
            <w:r w:rsidR="00CC2715">
              <w:rPr>
                <w:rFonts w:cs="Arial"/>
                <w:color w:val="auto"/>
                <w:sz w:val="22"/>
                <w:szCs w:val="22"/>
              </w:rPr>
              <w:t>0,000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color w:val="auto"/>
                <w:sz w:val="22"/>
                <w:szCs w:val="22"/>
              </w:rPr>
            </w:pPr>
            <w:r>
              <w:rPr>
                <w:rFonts w:cs="Arial"/>
                <w:color w:val="auto"/>
                <w:sz w:val="22"/>
                <w:szCs w:val="22"/>
              </w:rPr>
              <w:t>0.97</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Call Accounts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7,000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0.80</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color w:val="auto"/>
                <w:sz w:val="22"/>
                <w:szCs w:val="22"/>
              </w:rPr>
            </w:pPr>
            <w:r>
              <w:rPr>
                <w:rFonts w:cs="Arial"/>
                <w:color w:val="auto"/>
                <w:sz w:val="22"/>
                <w:szCs w:val="22"/>
              </w:rPr>
              <w:t>2,500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color w:val="auto"/>
                <w:sz w:val="22"/>
                <w:szCs w:val="22"/>
              </w:rPr>
            </w:pPr>
            <w:r>
              <w:rPr>
                <w:rFonts w:cs="Arial"/>
                <w:color w:val="auto"/>
                <w:sz w:val="22"/>
                <w:szCs w:val="22"/>
              </w:rPr>
              <w:t>0.70</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Variable Interest Investments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2,960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0.46</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FC15DE" w:rsidP="00730E64">
            <w:pPr>
              <w:spacing w:after="0"/>
              <w:jc w:val="right"/>
              <w:rPr>
                <w:rFonts w:cs="Arial"/>
                <w:color w:val="auto"/>
                <w:sz w:val="22"/>
                <w:szCs w:val="22"/>
              </w:rPr>
            </w:pPr>
            <w:r>
              <w:rPr>
                <w:rFonts w:cs="Arial"/>
                <w:color w:val="auto"/>
                <w:sz w:val="22"/>
                <w:szCs w:val="22"/>
              </w:rPr>
              <w:t>13,670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w:t>
            </w:r>
            <w:r w:rsidR="00CC2715">
              <w:rPr>
                <w:rFonts w:cs="Arial"/>
                <w:color w:val="auto"/>
                <w:sz w:val="22"/>
                <w:szCs w:val="22"/>
              </w:rPr>
              <w:t>65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Property Funds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10,000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4.50</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10,000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4.12</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Total Investments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80,960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1.17</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96,170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b/>
                <w:bCs/>
                <w:color w:val="auto"/>
                <w:sz w:val="22"/>
                <w:szCs w:val="22"/>
              </w:rPr>
            </w:pPr>
            <w:r>
              <w:rPr>
                <w:rFonts w:cs="Arial"/>
                <w:b/>
                <w:bCs/>
                <w:color w:val="auto"/>
                <w:sz w:val="22"/>
                <w:szCs w:val="22"/>
              </w:rPr>
              <w:t>1.15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15"/>
        </w:trPr>
        <w:tc>
          <w:tcPr>
            <w:tcW w:w="3780" w:type="dxa"/>
            <w:tcBorders>
              <w:top w:val="nil"/>
              <w:left w:val="single" w:sz="8" w:space="0" w:color="auto"/>
              <w:bottom w:val="single" w:sz="8" w:space="0" w:color="auto"/>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Net Position</w:t>
            </w:r>
          </w:p>
        </w:tc>
        <w:tc>
          <w:tcPr>
            <w:tcW w:w="1246"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117,568</w:t>
            </w:r>
          </w:p>
        </w:tc>
        <w:tc>
          <w:tcPr>
            <w:tcW w:w="1474"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c>
          <w:tcPr>
            <w:tcW w:w="1246"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102,358</w:t>
            </w:r>
          </w:p>
        </w:tc>
        <w:tc>
          <w:tcPr>
            <w:tcW w:w="1474"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r>
    </w:tbl>
    <w:p w:rsidR="004C0E25" w:rsidRDefault="004C0E25" w:rsidP="005876BD">
      <w:pPr>
        <w:spacing w:after="0"/>
        <w:ind w:left="360"/>
        <w:jc w:val="both"/>
        <w:rPr>
          <w:b/>
          <w:color w:val="auto"/>
          <w:lang w:eastAsia="en-US"/>
        </w:rPr>
      </w:pPr>
    </w:p>
    <w:p w:rsidR="00DA22B5" w:rsidRDefault="002269B7" w:rsidP="005876BD">
      <w:pPr>
        <w:pStyle w:val="ListParagraph"/>
      </w:pPr>
      <w:r>
        <w:t>Overall, t</w:t>
      </w:r>
      <w:r w:rsidR="00301501">
        <w:t>he</w:t>
      </w:r>
      <w:r>
        <w:t xml:space="preserve"> Council earned a weighted average return of </w:t>
      </w:r>
      <w:r w:rsidR="00183488">
        <w:t>1</w:t>
      </w:r>
      <w:r>
        <w:t>.</w:t>
      </w:r>
      <w:r w:rsidR="00A001D1">
        <w:t>15</w:t>
      </w:r>
      <w:r>
        <w:t xml:space="preserve">% on its </w:t>
      </w:r>
      <w:r w:rsidR="00301501">
        <w:t xml:space="preserve">investment which </w:t>
      </w:r>
      <w:r w:rsidR="002A3355">
        <w:t xml:space="preserve">is </w:t>
      </w:r>
      <w:r w:rsidR="00A001D1">
        <w:t>below</w:t>
      </w:r>
      <w:r w:rsidR="00183488">
        <w:t xml:space="preserve"> </w:t>
      </w:r>
      <w:r w:rsidR="00DA22B5">
        <w:t>the</w:t>
      </w:r>
      <w:r>
        <w:t xml:space="preserve"> </w:t>
      </w:r>
      <w:r w:rsidR="00301501" w:rsidRPr="00FA020C">
        <w:t>target of 0.</w:t>
      </w:r>
      <w:r w:rsidR="001F7155" w:rsidRPr="00FA020C">
        <w:t>6</w:t>
      </w:r>
      <w:r w:rsidR="00301501" w:rsidRPr="00FA020C">
        <w:t>% above base rate</w:t>
      </w:r>
      <w:r w:rsidR="002A3355">
        <w:t xml:space="preserve">, </w:t>
      </w:r>
      <w:r w:rsidR="00F72A82">
        <w:t xml:space="preserve">which </w:t>
      </w:r>
      <w:r w:rsidR="002A3355">
        <w:t>equat</w:t>
      </w:r>
      <w:r w:rsidR="00F72A82">
        <w:t>ed</w:t>
      </w:r>
      <w:r w:rsidR="002A3355">
        <w:t xml:space="preserve"> to 1.225</w:t>
      </w:r>
      <w:r w:rsidR="00DA22B5">
        <w:t>% as at 31</w:t>
      </w:r>
      <w:r w:rsidR="002C3C3E">
        <w:t xml:space="preserve"> March 2019.</w:t>
      </w:r>
    </w:p>
    <w:p w:rsidR="00DA22B5" w:rsidRPr="002A3355" w:rsidRDefault="002269B7" w:rsidP="005876BD">
      <w:pPr>
        <w:pStyle w:val="ListParagraph"/>
      </w:pPr>
      <w:r w:rsidRPr="002A3355">
        <w:t>T</w:t>
      </w:r>
      <w:r w:rsidR="00DA22B5" w:rsidRPr="002A3355">
        <w:t xml:space="preserve">he Council </w:t>
      </w:r>
      <w:r w:rsidR="00A001D1">
        <w:t xml:space="preserve">failed to </w:t>
      </w:r>
      <w:r w:rsidR="00DA22B5" w:rsidRPr="002A3355">
        <w:t xml:space="preserve">achieve its target </w:t>
      </w:r>
      <w:r w:rsidR="00C0444C">
        <w:t>as</w:t>
      </w:r>
      <w:r w:rsidR="00DA22B5" w:rsidRPr="002A3355">
        <w:t xml:space="preserve"> the base rate rise that occurred in the latter half of the financial year</w:t>
      </w:r>
      <w:r w:rsidR="00C0444C">
        <w:t xml:space="preserve"> wasn’t reflected in the interest rates offered due to uncertainty in the market mainly due to </w:t>
      </w:r>
      <w:r w:rsidR="00730E64">
        <w:t>Brexit</w:t>
      </w:r>
      <w:r w:rsidR="00DD4ADF" w:rsidRPr="002A3355">
        <w:t xml:space="preserve">.  </w:t>
      </w:r>
      <w:r w:rsidRPr="002A3355">
        <w:t xml:space="preserve"> </w:t>
      </w:r>
    </w:p>
    <w:p w:rsidR="00100D19" w:rsidRPr="00513644" w:rsidRDefault="00100D19" w:rsidP="00100D19">
      <w:pPr>
        <w:spacing w:before="240"/>
        <w:outlineLvl w:val="0"/>
        <w:rPr>
          <w:b/>
        </w:rPr>
      </w:pPr>
      <w:r w:rsidRPr="00513644">
        <w:rPr>
          <w:b/>
        </w:rPr>
        <w:t>Prudential Indicators and Compliance Issues</w:t>
      </w:r>
    </w:p>
    <w:p w:rsidR="00100D19" w:rsidRDefault="00100D19" w:rsidP="00100D19">
      <w:pPr>
        <w:pStyle w:val="bParagraphtext"/>
      </w:pPr>
      <w:r w:rsidRPr="00513644">
        <w:t>Some of the prudential indicators provide an overview, others a specific limit on</w:t>
      </w:r>
      <w:r w:rsidRPr="00100D19">
        <w:t xml:space="preserve"> treasury activity.  These are detailed below:</w:t>
      </w:r>
    </w:p>
    <w:p w:rsidR="00100D19" w:rsidRDefault="00100D19" w:rsidP="00100D19">
      <w:pPr>
        <w:pStyle w:val="bParagraphtext"/>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DD224F" w:rsidRDefault="00DD224F">
      <w:pPr>
        <w:spacing w:after="0"/>
        <w:rPr>
          <w:b/>
          <w:color w:val="auto"/>
          <w:lang w:eastAsia="en-US"/>
        </w:rPr>
      </w:pPr>
      <w:r>
        <w:rPr>
          <w:b/>
          <w:color w:val="auto"/>
          <w:lang w:eastAsia="en-US"/>
        </w:rPr>
        <w:br w:type="page"/>
      </w:r>
    </w:p>
    <w:p w:rsidR="00FA020C" w:rsidRDefault="009455E4" w:rsidP="00100D19">
      <w:pPr>
        <w:spacing w:after="0"/>
        <w:ind w:left="360"/>
        <w:rPr>
          <w:b/>
          <w:color w:val="auto"/>
          <w:lang w:eastAsia="en-US"/>
        </w:rPr>
      </w:pPr>
      <w:r>
        <w:rPr>
          <w:b/>
          <w:color w:val="auto"/>
          <w:lang w:eastAsia="en-US"/>
        </w:rPr>
        <w:lastRenderedPageBreak/>
        <w:t>Table 4</w:t>
      </w:r>
    </w:p>
    <w:p w:rsidR="002C3C3E" w:rsidRDefault="002C3C3E" w:rsidP="00100D19">
      <w:pPr>
        <w:spacing w:after="0"/>
        <w:ind w:left="360"/>
        <w:rPr>
          <w:b/>
          <w:color w:val="auto"/>
          <w:lang w:eastAsia="en-US"/>
        </w:rPr>
      </w:pPr>
    </w:p>
    <w:tbl>
      <w:tblPr>
        <w:tblW w:w="7071" w:type="dxa"/>
        <w:tblInd w:w="1401" w:type="dxa"/>
        <w:tblLook w:val="04A0" w:firstRow="1" w:lastRow="0" w:firstColumn="1" w:lastColumn="0" w:noHBand="0" w:noVBand="1"/>
      </w:tblPr>
      <w:tblGrid>
        <w:gridCol w:w="4236"/>
        <w:gridCol w:w="1417"/>
        <w:gridCol w:w="1418"/>
      </w:tblGrid>
      <w:tr w:rsidR="002C3C3E" w:rsidRPr="002C3C3E" w:rsidTr="00730E64">
        <w:trPr>
          <w:trHeight w:val="600"/>
        </w:trPr>
        <w:tc>
          <w:tcPr>
            <w:tcW w:w="4236" w:type="dxa"/>
            <w:tcBorders>
              <w:top w:val="single" w:sz="8" w:space="0" w:color="auto"/>
              <w:left w:val="single" w:sz="8" w:space="0" w:color="auto"/>
              <w:bottom w:val="nil"/>
              <w:right w:val="nil"/>
            </w:tcBorders>
            <w:shd w:val="clear" w:color="000000" w:fill="D9D9D9"/>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Net Borrowing &amp; CFR</w:t>
            </w:r>
          </w:p>
        </w:tc>
        <w:tc>
          <w:tcPr>
            <w:tcW w:w="1417" w:type="dxa"/>
            <w:tcBorders>
              <w:top w:val="single" w:sz="8" w:space="0" w:color="auto"/>
              <w:left w:val="nil"/>
              <w:bottom w:val="nil"/>
              <w:right w:val="nil"/>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31</w:t>
            </w:r>
            <w:r w:rsidR="002C3C3E" w:rsidRPr="002C3C3E">
              <w:rPr>
                <w:rFonts w:cs="Arial"/>
                <w:b/>
                <w:bCs/>
                <w:color w:val="auto"/>
                <w:sz w:val="22"/>
                <w:szCs w:val="22"/>
              </w:rPr>
              <w:t xml:space="preserve"> March 2018</w:t>
            </w:r>
          </w:p>
        </w:tc>
        <w:tc>
          <w:tcPr>
            <w:tcW w:w="1418" w:type="dxa"/>
            <w:tcBorders>
              <w:top w:val="single" w:sz="8" w:space="0" w:color="auto"/>
              <w:left w:val="nil"/>
              <w:bottom w:val="nil"/>
              <w:right w:val="single" w:sz="8" w:space="0" w:color="auto"/>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31</w:t>
            </w:r>
            <w:r w:rsidR="002C3C3E" w:rsidRPr="002C3C3E">
              <w:rPr>
                <w:rFonts w:cs="Arial"/>
                <w:b/>
                <w:bCs/>
                <w:color w:val="auto"/>
                <w:sz w:val="22"/>
                <w:szCs w:val="22"/>
              </w:rPr>
              <w:t xml:space="preserve"> March 2019</w:t>
            </w:r>
          </w:p>
        </w:tc>
      </w:tr>
      <w:tr w:rsidR="002C3C3E" w:rsidRPr="002C3C3E" w:rsidTr="00730E64">
        <w:trPr>
          <w:trHeight w:val="300"/>
        </w:trPr>
        <w:tc>
          <w:tcPr>
            <w:tcW w:w="4236" w:type="dxa"/>
            <w:tcBorders>
              <w:top w:val="nil"/>
              <w:left w:val="single" w:sz="8" w:space="0" w:color="auto"/>
              <w:bottom w:val="nil"/>
              <w:right w:val="nil"/>
            </w:tcBorders>
            <w:shd w:val="clear" w:color="000000" w:fill="D9D9D9"/>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 </w:t>
            </w:r>
          </w:p>
        </w:tc>
        <w:tc>
          <w:tcPr>
            <w:tcW w:w="1417" w:type="dxa"/>
            <w:tcBorders>
              <w:top w:val="nil"/>
              <w:left w:val="nil"/>
              <w:bottom w:val="nil"/>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c>
          <w:tcPr>
            <w:tcW w:w="1418" w:type="dxa"/>
            <w:tcBorders>
              <w:top w:val="nil"/>
              <w:left w:val="nil"/>
              <w:bottom w:val="nil"/>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r>
      <w:tr w:rsidR="002C3C3E" w:rsidRPr="002C3C3E" w:rsidTr="00730E64">
        <w:trPr>
          <w:trHeight w:val="315"/>
        </w:trPr>
        <w:tc>
          <w:tcPr>
            <w:tcW w:w="4236" w:type="dxa"/>
            <w:tcBorders>
              <w:top w:val="nil"/>
              <w:left w:val="single" w:sz="8" w:space="0" w:color="auto"/>
              <w:bottom w:val="single" w:sz="8" w:space="0" w:color="auto"/>
              <w:right w:val="nil"/>
            </w:tcBorders>
            <w:shd w:val="clear" w:color="000000" w:fill="D9D9D9"/>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 </w:t>
            </w:r>
          </w:p>
        </w:tc>
        <w:tc>
          <w:tcPr>
            <w:tcW w:w="1417" w:type="dxa"/>
            <w:tcBorders>
              <w:top w:val="nil"/>
              <w:left w:val="nil"/>
              <w:bottom w:val="single" w:sz="8" w:space="0" w:color="auto"/>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418" w:type="dxa"/>
            <w:tcBorders>
              <w:top w:val="nil"/>
              <w:left w:val="nil"/>
              <w:bottom w:val="single" w:sz="8" w:space="0" w:color="auto"/>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Total Debt</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Total Investment</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80,960</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96,170</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Net Borrowing Position</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117,568</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102,358</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CFR</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223,143</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227,213</w:t>
            </w:r>
          </w:p>
        </w:tc>
      </w:tr>
      <w:tr w:rsidR="002C3C3E" w:rsidRPr="002C3C3E" w:rsidTr="00730E64">
        <w:trPr>
          <w:trHeight w:val="315"/>
        </w:trPr>
        <w:tc>
          <w:tcPr>
            <w:tcW w:w="4236" w:type="dxa"/>
            <w:tcBorders>
              <w:top w:val="nil"/>
              <w:left w:val="single" w:sz="8" w:space="0" w:color="auto"/>
              <w:bottom w:val="single" w:sz="8" w:space="0" w:color="auto"/>
              <w:right w:val="nil"/>
            </w:tcBorders>
            <w:shd w:val="clear" w:color="000000" w:fill="FFFFFF"/>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Under Borrowing plus Investments</w:t>
            </w:r>
          </w:p>
        </w:tc>
        <w:tc>
          <w:tcPr>
            <w:tcW w:w="1417" w:type="dxa"/>
            <w:tcBorders>
              <w:top w:val="nil"/>
              <w:left w:val="nil"/>
              <w:bottom w:val="single" w:sz="8" w:space="0" w:color="auto"/>
              <w:right w:val="nil"/>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105,575</w:t>
            </w:r>
          </w:p>
        </w:tc>
        <w:tc>
          <w:tcPr>
            <w:tcW w:w="1418" w:type="dxa"/>
            <w:tcBorders>
              <w:top w:val="nil"/>
              <w:left w:val="nil"/>
              <w:bottom w:val="single" w:sz="8" w:space="0" w:color="auto"/>
              <w:right w:val="single" w:sz="8" w:space="0" w:color="auto"/>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124,855</w:t>
            </w:r>
          </w:p>
        </w:tc>
      </w:tr>
    </w:tbl>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201</w:t>
      </w:r>
      <w:r w:rsidR="002C3C3E">
        <w:t>8</w:t>
      </w:r>
      <w:r w:rsidRPr="00100D19">
        <w:t>/1</w:t>
      </w:r>
      <w:r w:rsidR="002C3C3E">
        <w:t>9</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D4ADF">
        <w:rPr>
          <w:b/>
          <w:color w:val="auto"/>
          <w:lang w:eastAsia="en-US"/>
        </w:rPr>
        <w:t>Table 5</w:t>
      </w:r>
    </w:p>
    <w:tbl>
      <w:tblPr>
        <w:tblW w:w="9220" w:type="dxa"/>
        <w:tblInd w:w="968" w:type="dxa"/>
        <w:tblLook w:val="04A0" w:firstRow="1" w:lastRow="0" w:firstColumn="1" w:lastColumn="0" w:noHBand="0" w:noVBand="1"/>
      </w:tblPr>
      <w:tblGrid>
        <w:gridCol w:w="3780"/>
        <w:gridCol w:w="1352"/>
        <w:gridCol w:w="1368"/>
        <w:gridCol w:w="1360"/>
        <w:gridCol w:w="1360"/>
      </w:tblGrid>
      <w:tr w:rsidR="002C3C3E" w:rsidRPr="002C3C3E" w:rsidTr="00730E64">
        <w:trPr>
          <w:trHeight w:val="300"/>
        </w:trPr>
        <w:tc>
          <w:tcPr>
            <w:tcW w:w="3780" w:type="dxa"/>
            <w:vMerge w:val="restart"/>
            <w:tcBorders>
              <w:top w:val="single" w:sz="8" w:space="0" w:color="auto"/>
              <w:left w:val="single" w:sz="8" w:space="0" w:color="auto"/>
              <w:bottom w:val="nil"/>
              <w:right w:val="single" w:sz="4" w:space="0" w:color="auto"/>
            </w:tcBorders>
            <w:shd w:val="clear" w:color="000000" w:fill="D9D9D9"/>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Authorised Limit compared to Actual Borrowing</w:t>
            </w:r>
          </w:p>
        </w:tc>
        <w:tc>
          <w:tcPr>
            <w:tcW w:w="2720" w:type="dxa"/>
            <w:gridSpan w:val="2"/>
            <w:tcBorders>
              <w:top w:val="single" w:sz="8" w:space="0" w:color="auto"/>
              <w:left w:val="single" w:sz="4" w:space="0" w:color="auto"/>
              <w:bottom w:val="nil"/>
              <w:right w:val="single" w:sz="8" w:space="0" w:color="000000"/>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31</w:t>
            </w:r>
            <w:r w:rsidR="002C3C3E" w:rsidRPr="002C3C3E">
              <w:rPr>
                <w:rFonts w:cs="Arial"/>
                <w:b/>
                <w:bCs/>
                <w:color w:val="auto"/>
                <w:sz w:val="22"/>
                <w:szCs w:val="22"/>
              </w:rPr>
              <w:t xml:space="preserve"> March 2018</w:t>
            </w:r>
          </w:p>
        </w:tc>
        <w:tc>
          <w:tcPr>
            <w:tcW w:w="2720" w:type="dxa"/>
            <w:gridSpan w:val="2"/>
            <w:tcBorders>
              <w:top w:val="single" w:sz="8" w:space="0" w:color="auto"/>
              <w:left w:val="nil"/>
              <w:bottom w:val="nil"/>
              <w:right w:val="single" w:sz="8" w:space="0" w:color="000000"/>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 xml:space="preserve">31 </w:t>
            </w:r>
            <w:r w:rsidR="002C3C3E" w:rsidRPr="002C3C3E">
              <w:rPr>
                <w:rFonts w:cs="Arial"/>
                <w:b/>
                <w:bCs/>
                <w:color w:val="auto"/>
                <w:sz w:val="22"/>
                <w:szCs w:val="22"/>
              </w:rPr>
              <w:t xml:space="preserve"> March 2019</w:t>
            </w:r>
          </w:p>
        </w:tc>
      </w:tr>
      <w:tr w:rsidR="002C3C3E" w:rsidRPr="002C3C3E" w:rsidTr="00730E64">
        <w:trPr>
          <w:trHeight w:val="300"/>
        </w:trPr>
        <w:tc>
          <w:tcPr>
            <w:tcW w:w="3780" w:type="dxa"/>
            <w:vMerge/>
            <w:tcBorders>
              <w:top w:val="single" w:sz="8" w:space="0" w:color="auto"/>
              <w:left w:val="single" w:sz="8" w:space="0" w:color="auto"/>
              <w:bottom w:val="nil"/>
              <w:right w:val="single" w:sz="4" w:space="0" w:color="auto"/>
            </w:tcBorders>
            <w:vAlign w:val="center"/>
            <w:hideMark/>
          </w:tcPr>
          <w:p w:rsidR="002C3C3E" w:rsidRPr="002C3C3E" w:rsidRDefault="002C3C3E" w:rsidP="002C3C3E">
            <w:pPr>
              <w:spacing w:after="0"/>
              <w:rPr>
                <w:rFonts w:cs="Arial"/>
                <w:b/>
                <w:bCs/>
                <w:color w:val="auto"/>
                <w:sz w:val="22"/>
                <w:szCs w:val="22"/>
              </w:rPr>
            </w:pPr>
          </w:p>
        </w:tc>
        <w:tc>
          <w:tcPr>
            <w:tcW w:w="1352" w:type="dxa"/>
            <w:tcBorders>
              <w:top w:val="nil"/>
              <w:left w:val="single" w:sz="4" w:space="0" w:color="auto"/>
              <w:bottom w:val="nil"/>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Limit</w:t>
            </w:r>
          </w:p>
        </w:tc>
        <w:tc>
          <w:tcPr>
            <w:tcW w:w="1368" w:type="dxa"/>
            <w:tcBorders>
              <w:top w:val="nil"/>
              <w:left w:val="nil"/>
              <w:bottom w:val="nil"/>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c>
          <w:tcPr>
            <w:tcW w:w="1360" w:type="dxa"/>
            <w:tcBorders>
              <w:top w:val="nil"/>
              <w:left w:val="nil"/>
              <w:bottom w:val="nil"/>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Limit</w:t>
            </w:r>
          </w:p>
        </w:tc>
        <w:tc>
          <w:tcPr>
            <w:tcW w:w="1360" w:type="dxa"/>
            <w:tcBorders>
              <w:top w:val="nil"/>
              <w:left w:val="nil"/>
              <w:bottom w:val="nil"/>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r>
      <w:tr w:rsidR="002C3C3E" w:rsidRPr="002C3C3E" w:rsidTr="00730E64">
        <w:trPr>
          <w:trHeight w:val="315"/>
        </w:trPr>
        <w:tc>
          <w:tcPr>
            <w:tcW w:w="3780" w:type="dxa"/>
            <w:tcBorders>
              <w:top w:val="nil"/>
              <w:left w:val="single" w:sz="8" w:space="0" w:color="auto"/>
              <w:bottom w:val="single" w:sz="8" w:space="0" w:color="auto"/>
              <w:right w:val="single" w:sz="4" w:space="0" w:color="auto"/>
            </w:tcBorders>
            <w:shd w:val="clear" w:color="000000" w:fill="D9D9D9"/>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c>
          <w:tcPr>
            <w:tcW w:w="1352" w:type="dxa"/>
            <w:tcBorders>
              <w:top w:val="nil"/>
              <w:left w:val="single" w:sz="4" w:space="0" w:color="auto"/>
              <w:bottom w:val="single" w:sz="8" w:space="0" w:color="auto"/>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368" w:type="dxa"/>
            <w:tcBorders>
              <w:top w:val="nil"/>
              <w:left w:val="nil"/>
              <w:bottom w:val="single" w:sz="8" w:space="0" w:color="auto"/>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360" w:type="dxa"/>
            <w:tcBorders>
              <w:top w:val="nil"/>
              <w:left w:val="nil"/>
              <w:bottom w:val="single" w:sz="8" w:space="0" w:color="auto"/>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r>
      <w:tr w:rsidR="002C3C3E" w:rsidRPr="002C3C3E" w:rsidTr="00730E64">
        <w:trPr>
          <w:trHeight w:val="300"/>
        </w:trPr>
        <w:tc>
          <w:tcPr>
            <w:tcW w:w="3780" w:type="dxa"/>
            <w:tcBorders>
              <w:top w:val="nil"/>
              <w:left w:val="single" w:sz="8" w:space="0" w:color="auto"/>
              <w:bottom w:val="nil"/>
              <w:right w:val="single" w:sz="4" w:space="0" w:color="auto"/>
            </w:tcBorders>
            <w:shd w:val="clear" w:color="auto" w:fill="auto"/>
            <w:noWrap/>
            <w:vAlign w:val="center"/>
            <w:hideMark/>
          </w:tcPr>
          <w:p w:rsidR="002C3C3E" w:rsidRPr="002C3C3E" w:rsidRDefault="003F0216" w:rsidP="002C3C3E">
            <w:pPr>
              <w:spacing w:after="0"/>
              <w:rPr>
                <w:rFonts w:cs="Arial"/>
                <w:color w:val="auto"/>
                <w:sz w:val="22"/>
                <w:szCs w:val="22"/>
              </w:rPr>
            </w:pPr>
            <w:r>
              <w:rPr>
                <w:rFonts w:cs="Arial"/>
                <w:color w:val="auto"/>
                <w:sz w:val="22"/>
                <w:szCs w:val="22"/>
              </w:rPr>
              <w:t xml:space="preserve">Authorised </w:t>
            </w:r>
            <w:r w:rsidR="002C3C3E" w:rsidRPr="002C3C3E">
              <w:rPr>
                <w:rFonts w:cs="Arial"/>
                <w:color w:val="auto"/>
                <w:sz w:val="22"/>
                <w:szCs w:val="22"/>
              </w:rPr>
              <w:t>Borrowing</w:t>
            </w:r>
            <w:r w:rsidR="00C0444C">
              <w:rPr>
                <w:rFonts w:cs="Arial"/>
                <w:color w:val="auto"/>
                <w:sz w:val="22"/>
                <w:szCs w:val="22"/>
              </w:rPr>
              <w:t xml:space="preserve"> Limit</w:t>
            </w:r>
          </w:p>
        </w:tc>
        <w:tc>
          <w:tcPr>
            <w:tcW w:w="1352" w:type="dxa"/>
            <w:tcBorders>
              <w:top w:val="nil"/>
              <w:left w:val="single" w:sz="4" w:space="0" w:color="auto"/>
              <w:bottom w:val="nil"/>
              <w:right w:val="nil"/>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338,199</w:t>
            </w:r>
          </w:p>
        </w:tc>
        <w:tc>
          <w:tcPr>
            <w:tcW w:w="136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c>
          <w:tcPr>
            <w:tcW w:w="1360" w:type="dxa"/>
            <w:tcBorders>
              <w:top w:val="nil"/>
              <w:left w:val="nil"/>
              <w:bottom w:val="nil"/>
              <w:right w:val="nil"/>
            </w:tcBorders>
            <w:shd w:val="clear" w:color="auto" w:fill="auto"/>
            <w:noWrap/>
            <w:vAlign w:val="center"/>
            <w:hideMark/>
          </w:tcPr>
          <w:p w:rsidR="002C3C3E" w:rsidRPr="002C3C3E" w:rsidRDefault="00C0444C" w:rsidP="002C3C3E">
            <w:pPr>
              <w:spacing w:after="0"/>
              <w:jc w:val="right"/>
              <w:rPr>
                <w:rFonts w:cs="Arial"/>
                <w:color w:val="auto"/>
                <w:sz w:val="22"/>
                <w:szCs w:val="22"/>
              </w:rPr>
            </w:pPr>
            <w:r>
              <w:rPr>
                <w:rFonts w:cs="Arial"/>
                <w:color w:val="auto"/>
                <w:sz w:val="22"/>
                <w:szCs w:val="22"/>
              </w:rPr>
              <w:t>372</w:t>
            </w:r>
            <w:r w:rsidR="00730E64">
              <w:rPr>
                <w:rFonts w:cs="Arial"/>
                <w:color w:val="auto"/>
                <w:sz w:val="22"/>
                <w:szCs w:val="22"/>
              </w:rPr>
              <w:t>,</w:t>
            </w:r>
            <w:r>
              <w:rPr>
                <w:rFonts w:cs="Arial"/>
                <w:color w:val="auto"/>
                <w:sz w:val="22"/>
                <w:szCs w:val="22"/>
              </w:rPr>
              <w:t>118</w:t>
            </w:r>
          </w:p>
        </w:tc>
        <w:tc>
          <w:tcPr>
            <w:tcW w:w="1360"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r>
      <w:tr w:rsidR="002C3C3E" w:rsidRPr="002C3C3E" w:rsidTr="00730E64">
        <w:trPr>
          <w:trHeight w:val="300"/>
        </w:trPr>
        <w:tc>
          <w:tcPr>
            <w:tcW w:w="3780" w:type="dxa"/>
            <w:tcBorders>
              <w:top w:val="nil"/>
              <w:left w:val="single" w:sz="8" w:space="0" w:color="auto"/>
              <w:bottom w:val="single" w:sz="4" w:space="0" w:color="auto"/>
              <w:right w:val="single" w:sz="4" w:space="0" w:color="auto"/>
            </w:tcBorders>
            <w:shd w:val="clear" w:color="auto" w:fill="auto"/>
            <w:noWrap/>
            <w:vAlign w:val="center"/>
          </w:tcPr>
          <w:p w:rsidR="002C3C3E" w:rsidRPr="002C3C3E" w:rsidRDefault="002C3C3E" w:rsidP="002C3C3E">
            <w:pPr>
              <w:spacing w:after="0"/>
              <w:rPr>
                <w:rFonts w:cs="Arial"/>
                <w:color w:val="auto"/>
                <w:sz w:val="22"/>
                <w:szCs w:val="22"/>
              </w:rPr>
            </w:pPr>
          </w:p>
        </w:tc>
        <w:tc>
          <w:tcPr>
            <w:tcW w:w="1352" w:type="dxa"/>
            <w:tcBorders>
              <w:top w:val="nil"/>
              <w:left w:val="single" w:sz="4" w:space="0" w:color="auto"/>
              <w:bottom w:val="single" w:sz="4" w:space="0" w:color="auto"/>
              <w:right w:val="nil"/>
            </w:tcBorders>
            <w:shd w:val="clear" w:color="auto" w:fill="auto"/>
            <w:noWrap/>
            <w:vAlign w:val="center"/>
          </w:tcPr>
          <w:p w:rsidR="002C3C3E" w:rsidRPr="002C3C3E" w:rsidRDefault="002C3C3E" w:rsidP="002C3C3E">
            <w:pPr>
              <w:spacing w:after="0"/>
              <w:jc w:val="right"/>
              <w:rPr>
                <w:rFonts w:cs="Arial"/>
                <w:color w:val="auto"/>
                <w:sz w:val="22"/>
                <w:szCs w:val="22"/>
              </w:rPr>
            </w:pPr>
          </w:p>
        </w:tc>
        <w:tc>
          <w:tcPr>
            <w:tcW w:w="1368" w:type="dxa"/>
            <w:tcBorders>
              <w:top w:val="nil"/>
              <w:left w:val="nil"/>
              <w:bottom w:val="single" w:sz="4" w:space="0" w:color="auto"/>
              <w:right w:val="single" w:sz="8" w:space="0" w:color="auto"/>
            </w:tcBorders>
            <w:shd w:val="clear" w:color="auto" w:fill="auto"/>
            <w:noWrap/>
            <w:vAlign w:val="center"/>
          </w:tcPr>
          <w:p w:rsidR="002C3C3E" w:rsidRPr="002C3C3E" w:rsidRDefault="002C3C3E" w:rsidP="002C3C3E">
            <w:pPr>
              <w:spacing w:after="0"/>
              <w:jc w:val="right"/>
              <w:rPr>
                <w:rFonts w:cs="Arial"/>
                <w:color w:val="auto"/>
                <w:sz w:val="22"/>
                <w:szCs w:val="22"/>
              </w:rPr>
            </w:pPr>
          </w:p>
        </w:tc>
        <w:tc>
          <w:tcPr>
            <w:tcW w:w="1360" w:type="dxa"/>
            <w:tcBorders>
              <w:top w:val="nil"/>
              <w:left w:val="nil"/>
              <w:bottom w:val="single" w:sz="4" w:space="0" w:color="auto"/>
              <w:right w:val="nil"/>
            </w:tcBorders>
            <w:shd w:val="clear" w:color="auto" w:fill="auto"/>
            <w:noWrap/>
            <w:vAlign w:val="center"/>
          </w:tcPr>
          <w:p w:rsidR="002C3C3E" w:rsidRPr="002C3C3E" w:rsidRDefault="002C3C3E" w:rsidP="002C3C3E">
            <w:pPr>
              <w:spacing w:after="0"/>
              <w:jc w:val="right"/>
              <w:rPr>
                <w:rFonts w:cs="Arial"/>
                <w:color w:val="auto"/>
                <w:sz w:val="22"/>
                <w:szCs w:val="22"/>
              </w:rPr>
            </w:pPr>
          </w:p>
        </w:tc>
        <w:tc>
          <w:tcPr>
            <w:tcW w:w="1360" w:type="dxa"/>
            <w:tcBorders>
              <w:top w:val="nil"/>
              <w:left w:val="nil"/>
              <w:bottom w:val="single" w:sz="4" w:space="0" w:color="auto"/>
              <w:right w:val="single" w:sz="8" w:space="0" w:color="auto"/>
            </w:tcBorders>
            <w:shd w:val="clear" w:color="auto" w:fill="auto"/>
            <w:noWrap/>
            <w:vAlign w:val="center"/>
          </w:tcPr>
          <w:p w:rsidR="002C3C3E" w:rsidRPr="002C3C3E" w:rsidRDefault="002C3C3E" w:rsidP="002C3C3E">
            <w:pPr>
              <w:spacing w:after="0"/>
              <w:jc w:val="right"/>
              <w:rPr>
                <w:rFonts w:cs="Arial"/>
                <w:color w:val="auto"/>
                <w:sz w:val="22"/>
                <w:szCs w:val="22"/>
              </w:rPr>
            </w:pPr>
          </w:p>
        </w:tc>
      </w:tr>
    </w:tbl>
    <w:p w:rsidR="002269B7" w:rsidRPr="00D665B3" w:rsidRDefault="002269B7" w:rsidP="00DD4ADF">
      <w:pPr>
        <w:pStyle w:val="bParagraphtext"/>
        <w:numPr>
          <w:ilvl w:val="0"/>
          <w:numId w:val="0"/>
        </w:numPr>
        <w:spacing w:after="0"/>
        <w:ind w:left="425"/>
        <w:jc w:val="center"/>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rsidR="00DD224F" w:rsidRDefault="00DD224F">
      <w:pPr>
        <w:spacing w:after="0"/>
        <w:rPr>
          <w:b/>
          <w:color w:val="auto"/>
          <w:lang w:eastAsia="en-US"/>
        </w:rPr>
      </w:pPr>
      <w:r>
        <w:rPr>
          <w:b/>
          <w:color w:val="auto"/>
          <w:lang w:eastAsia="en-US"/>
        </w:rPr>
        <w:br w:type="page"/>
      </w:r>
    </w:p>
    <w:p w:rsidR="00D665B3" w:rsidRDefault="00D665B3" w:rsidP="00D665B3">
      <w:pPr>
        <w:spacing w:after="0"/>
        <w:ind w:left="360"/>
        <w:rPr>
          <w:b/>
          <w:color w:val="auto"/>
          <w:lang w:eastAsia="en-US"/>
        </w:rPr>
      </w:pPr>
      <w:r w:rsidRPr="00D665B3">
        <w:rPr>
          <w:b/>
          <w:color w:val="auto"/>
          <w:lang w:eastAsia="en-US"/>
        </w:rPr>
        <w:lastRenderedPageBreak/>
        <w:t>Table 6</w:t>
      </w:r>
    </w:p>
    <w:p w:rsidR="009455E4" w:rsidRDefault="009455E4" w:rsidP="00D665B3">
      <w:pPr>
        <w:spacing w:after="0"/>
        <w:ind w:left="360"/>
        <w:rPr>
          <w:b/>
          <w:color w:val="auto"/>
          <w:lang w:eastAsia="en-US"/>
        </w:rPr>
      </w:pPr>
    </w:p>
    <w:tbl>
      <w:tblPr>
        <w:tblW w:w="6500" w:type="dxa"/>
        <w:tblInd w:w="968" w:type="dxa"/>
        <w:tblLook w:val="04A0" w:firstRow="1" w:lastRow="0" w:firstColumn="1" w:lastColumn="0" w:noHBand="0" w:noVBand="1"/>
      </w:tblPr>
      <w:tblGrid>
        <w:gridCol w:w="3780"/>
        <w:gridCol w:w="1360"/>
        <w:gridCol w:w="1360"/>
      </w:tblGrid>
      <w:tr w:rsidR="006B10E6" w:rsidRPr="006B10E6" w:rsidTr="006B10E6">
        <w:trPr>
          <w:trHeight w:val="600"/>
        </w:trPr>
        <w:tc>
          <w:tcPr>
            <w:tcW w:w="3780" w:type="dxa"/>
            <w:tcBorders>
              <w:top w:val="single" w:sz="8" w:space="0" w:color="auto"/>
              <w:left w:val="single" w:sz="8" w:space="0" w:color="auto"/>
              <w:bottom w:val="nil"/>
              <w:right w:val="nil"/>
            </w:tcBorders>
            <w:shd w:val="clear" w:color="000000" w:fill="D9D9D9"/>
            <w:noWrap/>
            <w:vAlign w:val="center"/>
            <w:hideMark/>
          </w:tcPr>
          <w:p w:rsidR="006B10E6" w:rsidRPr="006B10E6" w:rsidRDefault="006B10E6" w:rsidP="006B10E6">
            <w:pPr>
              <w:spacing w:after="0"/>
              <w:rPr>
                <w:rFonts w:cs="Arial"/>
                <w:b/>
                <w:bCs/>
                <w:color w:val="auto"/>
                <w:sz w:val="22"/>
                <w:szCs w:val="22"/>
              </w:rPr>
            </w:pPr>
            <w:r w:rsidRPr="006B10E6">
              <w:rPr>
                <w:rFonts w:cs="Arial"/>
                <w:b/>
                <w:bCs/>
                <w:color w:val="auto"/>
                <w:sz w:val="22"/>
                <w:szCs w:val="22"/>
              </w:rPr>
              <w:t>Operational Boundaries</w:t>
            </w:r>
          </w:p>
        </w:tc>
        <w:tc>
          <w:tcPr>
            <w:tcW w:w="1360" w:type="dxa"/>
            <w:tcBorders>
              <w:top w:val="single" w:sz="8" w:space="0" w:color="auto"/>
              <w:left w:val="single" w:sz="8" w:space="0" w:color="auto"/>
              <w:bottom w:val="nil"/>
              <w:right w:val="single" w:sz="8" w:space="0" w:color="auto"/>
            </w:tcBorders>
            <w:shd w:val="clear" w:color="000000" w:fill="D9D9D9"/>
            <w:vAlign w:val="center"/>
            <w:hideMark/>
          </w:tcPr>
          <w:p w:rsidR="006B10E6" w:rsidRPr="006B10E6" w:rsidRDefault="00333D5B" w:rsidP="006B10E6">
            <w:pPr>
              <w:spacing w:after="0"/>
              <w:jc w:val="center"/>
              <w:rPr>
                <w:rFonts w:cs="Arial"/>
                <w:b/>
                <w:bCs/>
                <w:color w:val="auto"/>
                <w:sz w:val="22"/>
                <w:szCs w:val="22"/>
              </w:rPr>
            </w:pPr>
            <w:r>
              <w:rPr>
                <w:rFonts w:cs="Arial"/>
                <w:b/>
                <w:bCs/>
                <w:color w:val="auto"/>
                <w:sz w:val="22"/>
                <w:szCs w:val="22"/>
              </w:rPr>
              <w:t>31</w:t>
            </w:r>
            <w:r w:rsidR="006B10E6" w:rsidRPr="006B10E6">
              <w:rPr>
                <w:rFonts w:cs="Arial"/>
                <w:b/>
                <w:bCs/>
                <w:color w:val="auto"/>
                <w:sz w:val="22"/>
                <w:szCs w:val="22"/>
              </w:rPr>
              <w:t xml:space="preserve"> March 2018</w:t>
            </w:r>
          </w:p>
        </w:tc>
        <w:tc>
          <w:tcPr>
            <w:tcW w:w="1360" w:type="dxa"/>
            <w:tcBorders>
              <w:top w:val="single" w:sz="8" w:space="0" w:color="auto"/>
              <w:left w:val="nil"/>
              <w:bottom w:val="nil"/>
              <w:right w:val="single" w:sz="8" w:space="0" w:color="auto"/>
            </w:tcBorders>
            <w:shd w:val="clear" w:color="000000" w:fill="D9D9D9"/>
            <w:vAlign w:val="center"/>
            <w:hideMark/>
          </w:tcPr>
          <w:p w:rsidR="006B10E6" w:rsidRPr="006B10E6" w:rsidRDefault="00333D5B" w:rsidP="006B10E6">
            <w:pPr>
              <w:spacing w:after="0"/>
              <w:jc w:val="center"/>
              <w:rPr>
                <w:rFonts w:cs="Arial"/>
                <w:b/>
                <w:bCs/>
                <w:color w:val="auto"/>
                <w:sz w:val="22"/>
                <w:szCs w:val="22"/>
              </w:rPr>
            </w:pPr>
            <w:r>
              <w:rPr>
                <w:rFonts w:cs="Arial"/>
                <w:b/>
                <w:bCs/>
                <w:color w:val="auto"/>
                <w:sz w:val="22"/>
                <w:szCs w:val="22"/>
              </w:rPr>
              <w:t>31</w:t>
            </w:r>
            <w:r w:rsidR="006B10E6" w:rsidRPr="006B10E6">
              <w:rPr>
                <w:rFonts w:cs="Arial"/>
                <w:b/>
                <w:bCs/>
                <w:color w:val="auto"/>
                <w:sz w:val="22"/>
                <w:szCs w:val="22"/>
              </w:rPr>
              <w:t xml:space="preserve"> March 2019</w:t>
            </w:r>
          </w:p>
        </w:tc>
      </w:tr>
      <w:tr w:rsidR="006B10E6" w:rsidRPr="006B10E6" w:rsidTr="006B10E6">
        <w:trPr>
          <w:trHeight w:val="315"/>
        </w:trPr>
        <w:tc>
          <w:tcPr>
            <w:tcW w:w="3780" w:type="dxa"/>
            <w:tcBorders>
              <w:top w:val="nil"/>
              <w:left w:val="single" w:sz="8" w:space="0" w:color="auto"/>
              <w:bottom w:val="single" w:sz="8" w:space="0" w:color="auto"/>
              <w:right w:val="nil"/>
            </w:tcBorders>
            <w:shd w:val="clear" w:color="000000" w:fill="D9D9D9"/>
            <w:noWrap/>
            <w:vAlign w:val="center"/>
            <w:hideMark/>
          </w:tcPr>
          <w:p w:rsidR="006B10E6" w:rsidRPr="006B10E6" w:rsidRDefault="006B10E6" w:rsidP="006B10E6">
            <w:pPr>
              <w:spacing w:after="0"/>
              <w:rPr>
                <w:rFonts w:cs="Arial"/>
                <w:color w:val="auto"/>
                <w:sz w:val="22"/>
                <w:szCs w:val="22"/>
              </w:rPr>
            </w:pPr>
            <w:r w:rsidRPr="006B10E6">
              <w:rPr>
                <w:rFonts w:cs="Arial"/>
                <w:color w:val="auto"/>
                <w:sz w:val="22"/>
                <w:szCs w:val="22"/>
              </w:rPr>
              <w:t> </w:t>
            </w:r>
          </w:p>
        </w:tc>
        <w:tc>
          <w:tcPr>
            <w:tcW w:w="1360" w:type="dxa"/>
            <w:tcBorders>
              <w:top w:val="nil"/>
              <w:left w:val="single" w:sz="8" w:space="0" w:color="auto"/>
              <w:bottom w:val="single" w:sz="8" w:space="0" w:color="auto"/>
              <w:right w:val="single" w:sz="8" w:space="0" w:color="auto"/>
            </w:tcBorders>
            <w:shd w:val="clear" w:color="000000" w:fill="D9D9D9"/>
            <w:noWrap/>
            <w:vAlign w:val="center"/>
            <w:hideMark/>
          </w:tcPr>
          <w:p w:rsidR="006B10E6" w:rsidRPr="006B10E6" w:rsidRDefault="006B10E6" w:rsidP="006B10E6">
            <w:pPr>
              <w:spacing w:after="0"/>
              <w:jc w:val="center"/>
              <w:rPr>
                <w:rFonts w:cs="Arial"/>
                <w:b/>
                <w:bCs/>
                <w:color w:val="auto"/>
                <w:sz w:val="22"/>
                <w:szCs w:val="22"/>
              </w:rPr>
            </w:pPr>
            <w:r w:rsidRPr="006B10E6">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6B10E6" w:rsidRPr="006B10E6" w:rsidRDefault="006B10E6" w:rsidP="006B10E6">
            <w:pPr>
              <w:spacing w:after="0"/>
              <w:jc w:val="center"/>
              <w:rPr>
                <w:rFonts w:cs="Arial"/>
                <w:b/>
                <w:bCs/>
                <w:color w:val="auto"/>
                <w:sz w:val="22"/>
                <w:szCs w:val="22"/>
              </w:rPr>
            </w:pPr>
            <w:r w:rsidRPr="006B10E6">
              <w:rPr>
                <w:rFonts w:cs="Arial"/>
                <w:b/>
                <w:bCs/>
                <w:color w:val="auto"/>
                <w:sz w:val="22"/>
                <w:szCs w:val="22"/>
              </w:rPr>
              <w:t>£'000</w:t>
            </w:r>
          </w:p>
        </w:tc>
      </w:tr>
      <w:tr w:rsidR="006B10E6" w:rsidRPr="006B10E6" w:rsidTr="006B10E6">
        <w:trPr>
          <w:trHeight w:val="300"/>
        </w:trPr>
        <w:tc>
          <w:tcPr>
            <w:tcW w:w="3780" w:type="dxa"/>
            <w:tcBorders>
              <w:top w:val="nil"/>
              <w:left w:val="single" w:sz="8" w:space="0" w:color="auto"/>
              <w:bottom w:val="nil"/>
              <w:right w:val="nil"/>
            </w:tcBorders>
            <w:shd w:val="clear" w:color="000000" w:fill="FFFFFF"/>
            <w:noWrap/>
            <w:vAlign w:val="center"/>
            <w:hideMark/>
          </w:tcPr>
          <w:p w:rsidR="006B10E6" w:rsidRPr="006B10E6" w:rsidRDefault="0084499F" w:rsidP="006B10E6">
            <w:pPr>
              <w:spacing w:after="0"/>
              <w:rPr>
                <w:rFonts w:cs="Arial"/>
                <w:color w:val="auto"/>
                <w:sz w:val="22"/>
                <w:szCs w:val="22"/>
              </w:rPr>
            </w:pPr>
            <w:r>
              <w:rPr>
                <w:rFonts w:cs="Arial"/>
                <w:color w:val="auto"/>
                <w:sz w:val="22"/>
                <w:szCs w:val="22"/>
              </w:rPr>
              <w:t xml:space="preserve">Total </w:t>
            </w:r>
            <w:r w:rsidR="006B10E6" w:rsidRPr="006B10E6">
              <w:rPr>
                <w:rFonts w:cs="Arial"/>
                <w:color w:val="auto"/>
                <w:sz w:val="22"/>
                <w:szCs w:val="22"/>
              </w:rPr>
              <w:t>Operational Borrowing Limit</w:t>
            </w:r>
          </w:p>
        </w:tc>
        <w:tc>
          <w:tcPr>
            <w:tcW w:w="1360" w:type="dxa"/>
            <w:tcBorders>
              <w:top w:val="nil"/>
              <w:left w:val="single" w:sz="8" w:space="0" w:color="auto"/>
              <w:bottom w:val="nil"/>
              <w:right w:val="single" w:sz="8" w:space="0" w:color="auto"/>
            </w:tcBorders>
            <w:shd w:val="clear" w:color="000000" w:fill="FFFFFF"/>
            <w:noWrap/>
            <w:vAlign w:val="center"/>
            <w:hideMark/>
          </w:tcPr>
          <w:p w:rsidR="006B10E6" w:rsidRPr="006B10E6" w:rsidRDefault="006B10E6" w:rsidP="006B10E6">
            <w:pPr>
              <w:spacing w:after="0"/>
              <w:jc w:val="right"/>
              <w:rPr>
                <w:rFonts w:cs="Arial"/>
                <w:color w:val="auto"/>
                <w:sz w:val="22"/>
                <w:szCs w:val="22"/>
              </w:rPr>
            </w:pPr>
            <w:r w:rsidRPr="006B10E6">
              <w:rPr>
                <w:rFonts w:cs="Arial"/>
                <w:color w:val="auto"/>
                <w:sz w:val="22"/>
                <w:szCs w:val="22"/>
              </w:rPr>
              <w:t>243,528</w:t>
            </w:r>
          </w:p>
        </w:tc>
        <w:tc>
          <w:tcPr>
            <w:tcW w:w="1360" w:type="dxa"/>
            <w:tcBorders>
              <w:top w:val="nil"/>
              <w:left w:val="nil"/>
              <w:bottom w:val="nil"/>
              <w:right w:val="single" w:sz="8" w:space="0" w:color="auto"/>
            </w:tcBorders>
            <w:shd w:val="clear" w:color="000000" w:fill="FFFFFF"/>
            <w:noWrap/>
            <w:vAlign w:val="center"/>
            <w:hideMark/>
          </w:tcPr>
          <w:p w:rsidR="006B10E6" w:rsidRPr="006B10E6" w:rsidRDefault="00C0444C" w:rsidP="006B10E6">
            <w:pPr>
              <w:spacing w:after="0"/>
              <w:jc w:val="right"/>
              <w:rPr>
                <w:rFonts w:cs="Arial"/>
                <w:color w:val="auto"/>
                <w:sz w:val="22"/>
                <w:szCs w:val="22"/>
              </w:rPr>
            </w:pPr>
            <w:r>
              <w:rPr>
                <w:rFonts w:cs="Arial"/>
                <w:color w:val="auto"/>
                <w:sz w:val="22"/>
                <w:szCs w:val="22"/>
              </w:rPr>
              <w:t>274,000</w:t>
            </w:r>
          </w:p>
        </w:tc>
      </w:tr>
      <w:tr w:rsidR="006B10E6" w:rsidRPr="006B10E6" w:rsidTr="00730E64">
        <w:trPr>
          <w:trHeight w:val="315"/>
        </w:trPr>
        <w:tc>
          <w:tcPr>
            <w:tcW w:w="3780" w:type="dxa"/>
            <w:tcBorders>
              <w:top w:val="nil"/>
              <w:left w:val="single" w:sz="8" w:space="0" w:color="auto"/>
              <w:bottom w:val="single" w:sz="8" w:space="0" w:color="auto"/>
              <w:right w:val="nil"/>
            </w:tcBorders>
            <w:shd w:val="clear" w:color="000000" w:fill="FFFFFF"/>
            <w:noWrap/>
            <w:vAlign w:val="center"/>
          </w:tcPr>
          <w:p w:rsidR="006B10E6" w:rsidRPr="006B10E6" w:rsidRDefault="006B10E6" w:rsidP="006B10E6">
            <w:pPr>
              <w:spacing w:after="0"/>
              <w:rPr>
                <w:rFonts w:cs="Arial"/>
                <w:b/>
                <w:bCs/>
                <w:color w:val="auto"/>
                <w:sz w:val="22"/>
                <w:szCs w:val="22"/>
              </w:rPr>
            </w:pPr>
          </w:p>
        </w:tc>
        <w:tc>
          <w:tcPr>
            <w:tcW w:w="1360" w:type="dxa"/>
            <w:tcBorders>
              <w:top w:val="nil"/>
              <w:left w:val="single" w:sz="8" w:space="0" w:color="auto"/>
              <w:bottom w:val="single" w:sz="8" w:space="0" w:color="auto"/>
              <w:right w:val="single" w:sz="8" w:space="0" w:color="auto"/>
            </w:tcBorders>
            <w:shd w:val="clear" w:color="000000" w:fill="FFFFFF"/>
            <w:noWrap/>
            <w:vAlign w:val="center"/>
          </w:tcPr>
          <w:p w:rsidR="006B10E6" w:rsidRPr="006B10E6" w:rsidRDefault="006B10E6" w:rsidP="006B10E6">
            <w:pPr>
              <w:spacing w:after="0"/>
              <w:jc w:val="right"/>
              <w:rPr>
                <w:rFonts w:cs="Arial"/>
                <w:b/>
                <w:bCs/>
                <w:color w:val="auto"/>
                <w:sz w:val="22"/>
                <w:szCs w:val="22"/>
              </w:rPr>
            </w:pPr>
          </w:p>
        </w:tc>
        <w:tc>
          <w:tcPr>
            <w:tcW w:w="1360" w:type="dxa"/>
            <w:tcBorders>
              <w:top w:val="nil"/>
              <w:left w:val="nil"/>
              <w:bottom w:val="single" w:sz="8" w:space="0" w:color="auto"/>
              <w:right w:val="single" w:sz="8" w:space="0" w:color="auto"/>
            </w:tcBorders>
            <w:shd w:val="clear" w:color="000000" w:fill="FFFFFF"/>
            <w:noWrap/>
            <w:vAlign w:val="center"/>
          </w:tcPr>
          <w:p w:rsidR="006B10E6" w:rsidRPr="006B10E6" w:rsidRDefault="006B10E6" w:rsidP="006B10E6">
            <w:pPr>
              <w:spacing w:after="0"/>
              <w:jc w:val="right"/>
              <w:rPr>
                <w:rFonts w:cs="Arial"/>
                <w:b/>
                <w:bCs/>
                <w:color w:val="auto"/>
                <w:sz w:val="22"/>
                <w:szCs w:val="22"/>
              </w:rPr>
            </w:pPr>
          </w:p>
        </w:tc>
      </w:tr>
    </w:tbl>
    <w:p w:rsidR="009455E4" w:rsidRDefault="009455E4" w:rsidP="00D665B3">
      <w:pPr>
        <w:spacing w:after="0"/>
        <w:ind w:left="360"/>
        <w:rPr>
          <w:b/>
          <w:color w:val="auto"/>
          <w:lang w:eastAsia="en-US"/>
        </w:rPr>
      </w:pPr>
    </w:p>
    <w:p w:rsidR="00D665B3" w:rsidRPr="00DD4ADF" w:rsidRDefault="00D665B3" w:rsidP="00100D19">
      <w:pPr>
        <w:pStyle w:val="bParagraphtext"/>
      </w:pPr>
      <w:r w:rsidRPr="00DD4ADF">
        <w:rPr>
          <w:b/>
          <w:i/>
        </w:rPr>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9E17D6">
        <w:t>improved slightly after</w:t>
      </w:r>
      <w:r w:rsidRPr="00DD4ADF">
        <w:t xml:space="preserve"> </w:t>
      </w:r>
      <w:r w:rsidR="009E17D6">
        <w:t>last year</w:t>
      </w:r>
      <w:r w:rsidR="00730E64">
        <w:t>’</w:t>
      </w:r>
      <w:r w:rsidR="009E17D6">
        <w:t>s</w:t>
      </w:r>
      <w:r w:rsidR="003948AC" w:rsidRPr="00DD4ADF">
        <w:t xml:space="preserve"> </w:t>
      </w:r>
      <w:r w:rsidR="00BC72D2" w:rsidRPr="00DD4ADF">
        <w:t>reducing</w:t>
      </w:r>
      <w:r w:rsidR="003948AC" w:rsidRPr="00DD4ADF">
        <w:t xml:space="preserve"> income stream meaning that </w:t>
      </w:r>
      <w:r w:rsidR="00062FC9" w:rsidRPr="00DD4ADF">
        <w:t xml:space="preserve">financing </w:t>
      </w:r>
      <w:r w:rsidR="009E17D6">
        <w:t>costs as a proportion have also fallen.</w:t>
      </w:r>
    </w:p>
    <w:p w:rsidR="005B1E8B" w:rsidRPr="005876BD" w:rsidRDefault="005B1E8B" w:rsidP="00D665B3">
      <w:pPr>
        <w:pStyle w:val="bParagraphtext"/>
        <w:numPr>
          <w:ilvl w:val="0"/>
          <w:numId w:val="0"/>
        </w:numPr>
        <w:spacing w:after="0"/>
        <w:ind w:left="425"/>
        <w:rPr>
          <w:highlight w:val="yellow"/>
        </w:rPr>
      </w:pPr>
    </w:p>
    <w:p w:rsidR="00D665B3" w:rsidRPr="00F13652" w:rsidRDefault="00D665B3" w:rsidP="00D665B3">
      <w:pPr>
        <w:spacing w:after="0"/>
        <w:ind w:left="360"/>
        <w:rPr>
          <w:b/>
          <w:color w:val="C00000"/>
          <w:lang w:eastAsia="en-US"/>
        </w:rPr>
      </w:pPr>
      <w:r w:rsidRPr="00DD4ADF">
        <w:rPr>
          <w:b/>
          <w:color w:val="auto"/>
          <w:lang w:eastAsia="en-US"/>
        </w:rPr>
        <w:t>Table 7</w:t>
      </w:r>
    </w:p>
    <w:tbl>
      <w:tblPr>
        <w:tblpPr w:leftFromText="180" w:rightFromText="180" w:vertAnchor="text" w:horzAnchor="margin" w:tblpY="107"/>
        <w:tblW w:w="10300" w:type="dxa"/>
        <w:tblLook w:val="04A0" w:firstRow="1" w:lastRow="0" w:firstColumn="1" w:lastColumn="0" w:noHBand="0" w:noVBand="1"/>
      </w:tblPr>
      <w:tblGrid>
        <w:gridCol w:w="7540"/>
        <w:gridCol w:w="1380"/>
        <w:gridCol w:w="1380"/>
      </w:tblGrid>
      <w:tr w:rsidR="009E17D6" w:rsidRPr="009E17D6" w:rsidTr="009E17D6">
        <w:trPr>
          <w:trHeight w:val="300"/>
        </w:trPr>
        <w:tc>
          <w:tcPr>
            <w:tcW w:w="7540" w:type="dxa"/>
            <w:tcBorders>
              <w:top w:val="single" w:sz="8" w:space="0" w:color="auto"/>
              <w:left w:val="single" w:sz="8" w:space="0" w:color="auto"/>
              <w:bottom w:val="nil"/>
              <w:right w:val="single" w:sz="8" w:space="0" w:color="auto"/>
            </w:tcBorders>
            <w:shd w:val="clear" w:color="000000" w:fill="D9D9D9"/>
            <w:noWrap/>
            <w:vAlign w:val="center"/>
            <w:hideMark/>
          </w:tcPr>
          <w:p w:rsidR="009E17D6" w:rsidRPr="009E17D6" w:rsidRDefault="009E17D6" w:rsidP="009E17D6">
            <w:pPr>
              <w:spacing w:after="0"/>
              <w:rPr>
                <w:rFonts w:cs="Arial"/>
                <w:b/>
                <w:bCs/>
                <w:color w:val="auto"/>
                <w:sz w:val="22"/>
                <w:szCs w:val="22"/>
              </w:rPr>
            </w:pPr>
            <w:r w:rsidRPr="009E17D6">
              <w:rPr>
                <w:rFonts w:cs="Arial"/>
                <w:b/>
                <w:bCs/>
                <w:color w:val="auto"/>
                <w:sz w:val="22"/>
                <w:szCs w:val="22"/>
              </w:rPr>
              <w:t>Actual Finance Costs</w:t>
            </w:r>
          </w:p>
        </w:tc>
        <w:tc>
          <w:tcPr>
            <w:tcW w:w="1380" w:type="dxa"/>
            <w:tcBorders>
              <w:top w:val="single" w:sz="8" w:space="0" w:color="auto"/>
              <w:left w:val="nil"/>
              <w:bottom w:val="nil"/>
              <w:right w:val="single" w:sz="8" w:space="0" w:color="auto"/>
            </w:tcBorders>
            <w:shd w:val="clear" w:color="000000" w:fill="D9D9D9"/>
            <w:noWrap/>
            <w:vAlign w:val="center"/>
            <w:hideMark/>
          </w:tcPr>
          <w:p w:rsidR="009E17D6" w:rsidRPr="009E17D6" w:rsidRDefault="009E17D6" w:rsidP="009E17D6">
            <w:pPr>
              <w:spacing w:after="0"/>
              <w:jc w:val="center"/>
              <w:rPr>
                <w:rFonts w:cs="Arial"/>
                <w:b/>
                <w:bCs/>
                <w:color w:val="auto"/>
                <w:sz w:val="22"/>
                <w:szCs w:val="22"/>
              </w:rPr>
            </w:pPr>
            <w:r w:rsidRPr="009E17D6">
              <w:rPr>
                <w:rFonts w:cs="Arial"/>
                <w:b/>
                <w:bCs/>
                <w:color w:val="auto"/>
                <w:sz w:val="22"/>
                <w:szCs w:val="22"/>
              </w:rPr>
              <w:t>2017/18</w:t>
            </w:r>
          </w:p>
        </w:tc>
        <w:tc>
          <w:tcPr>
            <w:tcW w:w="1380" w:type="dxa"/>
            <w:tcBorders>
              <w:top w:val="single" w:sz="8" w:space="0" w:color="auto"/>
              <w:left w:val="nil"/>
              <w:bottom w:val="nil"/>
              <w:right w:val="single" w:sz="8" w:space="0" w:color="auto"/>
            </w:tcBorders>
            <w:shd w:val="clear" w:color="000000" w:fill="D9D9D9"/>
            <w:noWrap/>
            <w:vAlign w:val="center"/>
            <w:hideMark/>
          </w:tcPr>
          <w:p w:rsidR="009E17D6" w:rsidRPr="009E17D6" w:rsidRDefault="009E17D6" w:rsidP="009E17D6">
            <w:pPr>
              <w:spacing w:after="0"/>
              <w:jc w:val="center"/>
              <w:rPr>
                <w:rFonts w:cs="Arial"/>
                <w:b/>
                <w:bCs/>
                <w:color w:val="auto"/>
                <w:sz w:val="22"/>
                <w:szCs w:val="22"/>
              </w:rPr>
            </w:pPr>
            <w:r w:rsidRPr="009E17D6">
              <w:rPr>
                <w:rFonts w:cs="Arial"/>
                <w:b/>
                <w:bCs/>
                <w:color w:val="auto"/>
                <w:sz w:val="22"/>
                <w:szCs w:val="22"/>
              </w:rPr>
              <w:t>2018/19</w:t>
            </w:r>
          </w:p>
        </w:tc>
      </w:tr>
      <w:tr w:rsidR="009E17D6" w:rsidRPr="009E17D6" w:rsidTr="009E17D6">
        <w:trPr>
          <w:trHeight w:val="315"/>
        </w:trPr>
        <w:tc>
          <w:tcPr>
            <w:tcW w:w="7540" w:type="dxa"/>
            <w:tcBorders>
              <w:top w:val="nil"/>
              <w:left w:val="single" w:sz="8" w:space="0" w:color="auto"/>
              <w:bottom w:val="single" w:sz="8" w:space="0" w:color="auto"/>
              <w:right w:val="single" w:sz="8" w:space="0" w:color="auto"/>
            </w:tcBorders>
            <w:shd w:val="clear" w:color="000000" w:fill="D9D9D9"/>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single" w:sz="8" w:space="0" w:color="auto"/>
              <w:right w:val="single" w:sz="8" w:space="0" w:color="auto"/>
            </w:tcBorders>
            <w:shd w:val="clear" w:color="000000" w:fill="D9D9D9"/>
            <w:noWrap/>
            <w:vAlign w:val="center"/>
            <w:hideMark/>
          </w:tcPr>
          <w:p w:rsidR="009E17D6" w:rsidRPr="009E17D6" w:rsidRDefault="009E17D6" w:rsidP="009E17D6">
            <w:pPr>
              <w:spacing w:after="0"/>
              <w:jc w:val="center"/>
              <w:rPr>
                <w:rFonts w:cs="Arial"/>
                <w:b/>
                <w:bCs/>
                <w:color w:val="auto"/>
                <w:sz w:val="22"/>
                <w:szCs w:val="22"/>
              </w:rPr>
            </w:pPr>
            <w:r w:rsidRPr="009E17D6">
              <w:rPr>
                <w:rFonts w:cs="Arial"/>
                <w:b/>
                <w:bCs/>
                <w:color w:val="auto"/>
                <w:sz w:val="22"/>
                <w:szCs w:val="22"/>
              </w:rPr>
              <w:t>£'000</w:t>
            </w:r>
          </w:p>
        </w:tc>
        <w:tc>
          <w:tcPr>
            <w:tcW w:w="1380" w:type="dxa"/>
            <w:tcBorders>
              <w:top w:val="nil"/>
              <w:left w:val="nil"/>
              <w:bottom w:val="single" w:sz="8" w:space="0" w:color="auto"/>
              <w:right w:val="single" w:sz="8" w:space="0" w:color="auto"/>
            </w:tcBorders>
            <w:shd w:val="clear" w:color="000000" w:fill="D9D9D9"/>
            <w:noWrap/>
            <w:vAlign w:val="center"/>
            <w:hideMark/>
          </w:tcPr>
          <w:p w:rsidR="009E17D6" w:rsidRPr="009E17D6" w:rsidRDefault="009E17D6" w:rsidP="00FD79ED">
            <w:pPr>
              <w:spacing w:after="0"/>
              <w:jc w:val="center"/>
              <w:rPr>
                <w:rFonts w:cs="Arial"/>
                <w:b/>
                <w:bCs/>
                <w:color w:val="auto"/>
                <w:sz w:val="22"/>
                <w:szCs w:val="22"/>
              </w:rPr>
            </w:pPr>
            <w:r w:rsidRPr="009E17D6">
              <w:rPr>
                <w:rFonts w:cs="Arial"/>
                <w:b/>
                <w:bCs/>
                <w:color w:val="auto"/>
                <w:sz w:val="22"/>
                <w:szCs w:val="22"/>
              </w:rPr>
              <w:t>£'00</w:t>
            </w:r>
            <w:r w:rsidR="00FD79ED">
              <w:rPr>
                <w:rFonts w:cs="Arial"/>
                <w:b/>
                <w:bCs/>
                <w:color w:val="auto"/>
                <w:sz w:val="22"/>
                <w:szCs w:val="22"/>
              </w:rPr>
              <w:t>0</w:t>
            </w:r>
          </w:p>
        </w:tc>
      </w:tr>
      <w:tr w:rsidR="009E17D6" w:rsidRPr="009E17D6" w:rsidTr="009E17D6">
        <w:trPr>
          <w:trHeight w:val="300"/>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b/>
                <w:bCs/>
                <w:color w:val="auto"/>
                <w:sz w:val="22"/>
                <w:szCs w:val="22"/>
              </w:rPr>
            </w:pPr>
            <w:r w:rsidRPr="009E17D6">
              <w:rPr>
                <w:rFonts w:cs="Arial"/>
                <w:b/>
                <w:bCs/>
                <w:color w:val="auto"/>
                <w:sz w:val="22"/>
                <w:szCs w:val="22"/>
              </w:rPr>
              <w:t>Revenue Stream</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r>
      <w:tr w:rsidR="009E17D6" w:rsidRPr="009E17D6" w:rsidTr="009E17D6">
        <w:trPr>
          <w:trHeight w:val="285"/>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General Fund</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22,858</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25,873</w:t>
            </w:r>
          </w:p>
        </w:tc>
      </w:tr>
      <w:tr w:rsidR="009E17D6" w:rsidRPr="009E17D6" w:rsidTr="009E17D6">
        <w:trPr>
          <w:trHeight w:val="285"/>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Housing Revenue Account</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44,739</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45,030</w:t>
            </w:r>
          </w:p>
        </w:tc>
      </w:tr>
      <w:tr w:rsidR="009E17D6" w:rsidRPr="009E17D6" w:rsidTr="009E17D6">
        <w:trPr>
          <w:trHeight w:val="285"/>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r>
      <w:tr w:rsidR="009E17D6" w:rsidRPr="009E17D6" w:rsidTr="009E17D6">
        <w:trPr>
          <w:trHeight w:val="300"/>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b/>
                <w:bCs/>
                <w:color w:val="auto"/>
                <w:sz w:val="22"/>
                <w:szCs w:val="22"/>
              </w:rPr>
            </w:pPr>
            <w:r w:rsidRPr="009E17D6">
              <w:rPr>
                <w:rFonts w:cs="Arial"/>
                <w:b/>
                <w:bCs/>
                <w:color w:val="auto"/>
                <w:sz w:val="22"/>
                <w:szCs w:val="22"/>
              </w:rPr>
              <w:t>Comparison to Actual Revenue Position</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r>
      <w:tr w:rsidR="009E17D6" w:rsidRPr="009E17D6" w:rsidTr="009E17D6">
        <w:trPr>
          <w:trHeight w:val="285"/>
        </w:trPr>
        <w:tc>
          <w:tcPr>
            <w:tcW w:w="7540" w:type="dxa"/>
            <w:tcBorders>
              <w:top w:val="nil"/>
              <w:left w:val="single" w:sz="8" w:space="0" w:color="auto"/>
              <w:bottom w:val="nil"/>
              <w:right w:val="nil"/>
            </w:tcBorders>
            <w:shd w:val="clear" w:color="000000" w:fill="FFFFFF"/>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Financing Costs as a proportion of Net Revenue Stream - General Fund</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-6.78%</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-7.48%</w:t>
            </w:r>
          </w:p>
        </w:tc>
      </w:tr>
      <w:tr w:rsidR="009E17D6" w:rsidRPr="009E17D6" w:rsidTr="009E17D6">
        <w:trPr>
          <w:trHeight w:val="300"/>
        </w:trPr>
        <w:tc>
          <w:tcPr>
            <w:tcW w:w="7540" w:type="dxa"/>
            <w:tcBorders>
              <w:top w:val="nil"/>
              <w:left w:val="single" w:sz="8" w:space="0" w:color="auto"/>
              <w:bottom w:val="single" w:sz="8" w:space="0" w:color="auto"/>
              <w:right w:val="nil"/>
            </w:tcBorders>
            <w:shd w:val="clear" w:color="000000" w:fill="FFFFFF"/>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Financing Costs as a proportion of Net Revenue Stream - HRA</w:t>
            </w:r>
          </w:p>
        </w:tc>
        <w:tc>
          <w:tcPr>
            <w:tcW w:w="1380" w:type="dxa"/>
            <w:tcBorders>
              <w:top w:val="nil"/>
              <w:left w:val="nil"/>
              <w:bottom w:val="single" w:sz="8" w:space="0" w:color="auto"/>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16.93%</w:t>
            </w:r>
          </w:p>
        </w:tc>
        <w:tc>
          <w:tcPr>
            <w:tcW w:w="1380" w:type="dxa"/>
            <w:tcBorders>
              <w:top w:val="nil"/>
              <w:left w:val="nil"/>
              <w:bottom w:val="single" w:sz="8" w:space="0" w:color="auto"/>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16.70%</w:t>
            </w:r>
          </w:p>
        </w:tc>
      </w:tr>
    </w:tbl>
    <w:p w:rsidR="00BC72D2" w:rsidRDefault="00BC72D2" w:rsidP="00D665B3">
      <w:pPr>
        <w:spacing w:after="0"/>
        <w:ind w:left="360"/>
        <w:rPr>
          <w:noProof/>
        </w:rPr>
      </w:pPr>
    </w:p>
    <w:p w:rsidR="00D665B3" w:rsidRPr="001356F1" w:rsidRDefault="00D665B3" w:rsidP="00D665B3">
      <w:pPr>
        <w:spacing w:before="240"/>
        <w:outlineLvl w:val="0"/>
        <w:rPr>
          <w:b/>
        </w:rPr>
      </w:pPr>
      <w:r w:rsidRPr="00D665B3">
        <w:rPr>
          <w:b/>
        </w:rPr>
        <w:t>Icelandic Banks</w:t>
      </w:r>
    </w:p>
    <w:p w:rsidR="00D665B3" w:rsidRPr="00BF1A38" w:rsidRDefault="00D665B3" w:rsidP="00100D19">
      <w:pPr>
        <w:pStyle w:val="bParagraphtext"/>
      </w:pPr>
      <w:r w:rsidRPr="008005A9">
        <w:t>During 2008/09 the Council invested £4.5 million with two of the now failed Icelandic banks: £3.0 million was deposited with Heritable Bank and £1.5 million with Glitnir Bank.</w:t>
      </w:r>
    </w:p>
    <w:p w:rsidR="00D665B3" w:rsidRPr="005B1E8B" w:rsidRDefault="00D665B3" w:rsidP="00100D19">
      <w:pPr>
        <w:pStyle w:val="bParagraphtext"/>
      </w:pPr>
      <w:r w:rsidRPr="005B1E8B">
        <w:t>As at 3</w:t>
      </w:r>
      <w:r w:rsidR="0022643C">
        <w:t>1</w:t>
      </w:r>
      <w:r w:rsidRPr="005B1E8B">
        <w:t xml:space="preserve"> March 2016, the Council had received approximately £2.94 million of its original Heritable Bank investment.  A</w:t>
      </w:r>
      <w:r w:rsidR="0041577F">
        <w:t>n outstanding</w:t>
      </w:r>
      <w:r w:rsidRPr="005B1E8B">
        <w:t xml:space="preserve"> balance of £0.06 </w:t>
      </w:r>
      <w:r w:rsidR="00B96B52" w:rsidRPr="005B1E8B">
        <w:t xml:space="preserve">million </w:t>
      </w:r>
      <w:r w:rsidRPr="005B1E8B">
        <w:t>remains</w:t>
      </w:r>
      <w:r w:rsidR="00B96B52" w:rsidRPr="005B1E8B">
        <w:t xml:space="preserve">.  </w:t>
      </w:r>
      <w:r w:rsidRPr="005B1E8B">
        <w:t xml:space="preserve"> </w:t>
      </w:r>
    </w:p>
    <w:p w:rsidR="00D665B3" w:rsidRDefault="00333D5B" w:rsidP="008005A9">
      <w:pPr>
        <w:pStyle w:val="bParagraphtext"/>
      </w:pPr>
      <w:r>
        <w:t>As at 31</w:t>
      </w:r>
      <w:r w:rsidR="00D665B3" w:rsidRPr="005B1E8B">
        <w:t xml:space="preserve"> March 2016, the Council had received approximately £1.39 million of its Glitnir investment</w:t>
      </w:r>
      <w:r w:rsidR="00D665B3" w:rsidRPr="00FF2DCF">
        <w:t>.  A</w:t>
      </w:r>
      <w:r w:rsidR="00A75B88">
        <w:t>n outstanding</w:t>
      </w:r>
      <w:r w:rsidR="00D665B3" w:rsidRPr="00FF2DCF">
        <w:t xml:space="preserve"> balance of £0.1</w:t>
      </w:r>
      <w:r w:rsidR="00A75B88">
        <w:t>1</w:t>
      </w:r>
      <w:r w:rsidR="00D665B3" w:rsidRPr="00FF2DCF">
        <w:t xml:space="preserve"> million remains </w:t>
      </w:r>
      <w:r w:rsidR="008005A9" w:rsidRPr="00BF1A38">
        <w:t>with the prospect of full recovery uncertain</w:t>
      </w:r>
      <w:r w:rsidR="00D665B3" w:rsidRPr="005B1E8B">
        <w:t>.</w:t>
      </w:r>
    </w:p>
    <w:p w:rsidR="00513644" w:rsidRPr="005B1E8B" w:rsidRDefault="00513644" w:rsidP="008005A9">
      <w:pPr>
        <w:pStyle w:val="bParagraphtext"/>
      </w:pPr>
      <w:r>
        <w:t>There have been no further receipts</w:t>
      </w:r>
      <w:r w:rsidR="003F0216">
        <w:t xml:space="preserve"> and therefore i</w:t>
      </w:r>
      <w:r w:rsidR="0022643C">
        <w:t>n 2018/19 the balances have been written down to revenue as the Council now deems these to be irrecoverable</w:t>
      </w:r>
    </w:p>
    <w:p w:rsidR="00D665B3" w:rsidRPr="001356F1" w:rsidRDefault="00D665B3" w:rsidP="008A28AC">
      <w:pPr>
        <w:spacing w:after="0"/>
        <w:rPr>
          <w:b/>
        </w:rPr>
      </w:pPr>
      <w:r w:rsidRPr="00D665B3">
        <w:rPr>
          <w:b/>
        </w:rPr>
        <w:t>Investment Income</w:t>
      </w:r>
    </w:p>
    <w:p w:rsidR="00462066" w:rsidRPr="00633F7C" w:rsidRDefault="00633F7C" w:rsidP="00100D19">
      <w:pPr>
        <w:pStyle w:val="bParagraphtext"/>
        <w:rPr>
          <w:color w:val="auto"/>
        </w:rPr>
      </w:pPr>
      <w:r w:rsidRPr="00633F7C">
        <w:rPr>
          <w:color w:val="auto"/>
        </w:rPr>
        <w:t xml:space="preserve">Markets are remaining weak as rate increases look less likely due to Brexit and economy pressures, no rate rise now </w:t>
      </w:r>
      <w:r w:rsidR="002D5CD0">
        <w:rPr>
          <w:color w:val="auto"/>
        </w:rPr>
        <w:t xml:space="preserve">predicted by </w:t>
      </w:r>
      <w:r w:rsidR="00FD79ED">
        <w:rPr>
          <w:color w:val="auto"/>
        </w:rPr>
        <w:t>L</w:t>
      </w:r>
      <w:r w:rsidR="002D5CD0">
        <w:rPr>
          <w:color w:val="auto"/>
        </w:rPr>
        <w:t xml:space="preserve">ink </w:t>
      </w:r>
      <w:r w:rsidR="00FD79ED">
        <w:rPr>
          <w:color w:val="auto"/>
        </w:rPr>
        <w:t>Asset Services (the Council</w:t>
      </w:r>
      <w:r w:rsidR="00333D5B">
        <w:rPr>
          <w:color w:val="auto"/>
        </w:rPr>
        <w:t>’s Treasury advise</w:t>
      </w:r>
      <w:r w:rsidR="00FD79ED">
        <w:rPr>
          <w:color w:val="auto"/>
        </w:rPr>
        <w:t xml:space="preserve">rs) </w:t>
      </w:r>
      <w:r w:rsidR="002D5CD0">
        <w:rPr>
          <w:color w:val="auto"/>
        </w:rPr>
        <w:t>until Dec</w:t>
      </w:r>
      <w:r w:rsidR="00FD79ED">
        <w:rPr>
          <w:color w:val="auto"/>
        </w:rPr>
        <w:t xml:space="preserve">ember </w:t>
      </w:r>
      <w:r w:rsidR="002D5CD0">
        <w:rPr>
          <w:color w:val="auto"/>
        </w:rPr>
        <w:t>20</w:t>
      </w:r>
      <w:r w:rsidR="00FD79ED">
        <w:rPr>
          <w:color w:val="auto"/>
        </w:rPr>
        <w:t>20</w:t>
      </w:r>
      <w:r w:rsidR="002D5CD0">
        <w:rPr>
          <w:color w:val="auto"/>
        </w:rPr>
        <w:t xml:space="preserve"> and the rates being offered may even antici</w:t>
      </w:r>
      <w:r w:rsidR="00691728">
        <w:rPr>
          <w:color w:val="auto"/>
        </w:rPr>
        <w:t>pate a rate decrease over next two</w:t>
      </w:r>
      <w:r w:rsidR="002D5CD0">
        <w:rPr>
          <w:color w:val="auto"/>
        </w:rPr>
        <w:t xml:space="preserve"> quarters.</w:t>
      </w:r>
    </w:p>
    <w:p w:rsidR="00D665B3" w:rsidRDefault="00D665B3" w:rsidP="00100D19">
      <w:pPr>
        <w:pStyle w:val="bParagraphtext"/>
      </w:pPr>
      <w:r w:rsidRPr="00D665B3">
        <w:t xml:space="preserve">The Council manages its investments in-house and invests with institutions listed in the Council’s approved counterparty list.  The Council invests for a range of periods </w:t>
      </w:r>
      <w:r w:rsidRPr="00D665B3">
        <w:lastRenderedPageBreak/>
        <w:t xml:space="preserve">from overnight to 364 days, dependant on cash flow </w:t>
      </w:r>
      <w:r w:rsidR="001D5EC8">
        <w:t>requirements</w:t>
      </w:r>
      <w:r w:rsidRPr="00D665B3">
        <w:t>, its view</w:t>
      </w:r>
      <w:r w:rsidR="001D5EC8">
        <w:t xml:space="preserve"> on interest rates and </w:t>
      </w:r>
      <w:r w:rsidRPr="00D665B3">
        <w:t>duration limits</w:t>
      </w:r>
      <w:r w:rsidR="003F533D">
        <w:t xml:space="preserve"> are</w:t>
      </w:r>
      <w:r w:rsidRPr="00D665B3">
        <w:t xml:space="preserve"> set out in the Council’s Investment Strategy.</w:t>
      </w:r>
    </w:p>
    <w:p w:rsidR="00867F4D" w:rsidRDefault="00D665B3" w:rsidP="00EE6CBF">
      <w:pPr>
        <w:pStyle w:val="bParagraphtext"/>
      </w:pPr>
      <w:r w:rsidRPr="00D665B3">
        <w:t>During 201</w:t>
      </w:r>
      <w:r w:rsidR="00445217">
        <w:t>8</w:t>
      </w:r>
      <w:r w:rsidRPr="00D665B3">
        <w:t>/1</w:t>
      </w:r>
      <w:r w:rsidR="00445217">
        <w:t>9</w:t>
      </w:r>
      <w:r w:rsidRPr="00D665B3">
        <w:t>, the Council maintained an average investment balance of £</w:t>
      </w:r>
      <w:r w:rsidR="00445217">
        <w:t>106</w:t>
      </w:r>
      <w:r w:rsidR="00521D01">
        <w:t xml:space="preserve"> </w:t>
      </w:r>
      <w:r w:rsidRPr="00D665B3">
        <w:t xml:space="preserve">million and received an average return </w:t>
      </w:r>
      <w:r w:rsidRPr="00730E64">
        <w:t xml:space="preserve">of </w:t>
      </w:r>
      <w:r w:rsidR="00754FD0" w:rsidRPr="00730E64">
        <w:t>1.1</w:t>
      </w:r>
      <w:r w:rsidR="0084499F" w:rsidRPr="00730E64">
        <w:t>5</w:t>
      </w:r>
      <w:r w:rsidRPr="00730E64">
        <w:t>%</w:t>
      </w:r>
      <w:r w:rsidR="00730E64" w:rsidRPr="00730E64">
        <w:t>.</w:t>
      </w:r>
      <w:r w:rsidR="00730E64">
        <w:t xml:space="preserve">  </w:t>
      </w:r>
      <w:r w:rsidR="00521D01">
        <w:t>The upper limit of non-specified investments allowed in the strategy is 25% of the average investment balance for the preceding calendar yea</w:t>
      </w:r>
      <w:r w:rsidR="00445217">
        <w:t>r.  The average balance for 2018 was £106</w:t>
      </w:r>
      <w:r w:rsidR="00521D01">
        <w:t xml:space="preserve"> million giving a limit on </w:t>
      </w:r>
      <w:r w:rsidR="00445217">
        <w:t>non-specified investments of £26.5</w:t>
      </w:r>
      <w:r w:rsidR="00521D01">
        <w:t xml:space="preserve"> million.  Only the property funds fell into the non-specified investment category; their original investment value was £10 million which with</w:t>
      </w:r>
      <w:r w:rsidR="00445217">
        <w:t>in the non-specified limit at 9.4</w:t>
      </w:r>
      <w:r w:rsidR="00521D01">
        <w:t>% of the average investment balance.</w:t>
      </w:r>
    </w:p>
    <w:p w:rsidR="002A367B" w:rsidRPr="00A05311" w:rsidRDefault="00D665B3" w:rsidP="00100D19">
      <w:pPr>
        <w:pStyle w:val="bParagraphtext"/>
        <w:rPr>
          <w:color w:val="auto"/>
        </w:rPr>
      </w:pPr>
      <w:r w:rsidRPr="00A05311">
        <w:rPr>
          <w:color w:val="auto"/>
        </w:rPr>
        <w:t xml:space="preserve">The Property Funds are classified as Non-specified Investments within the approved Strategy.  The current rate of return on the investments is circa 4.05% per annum.  The </w:t>
      </w:r>
      <w:r w:rsidR="00EB5A82" w:rsidRPr="00A05311">
        <w:rPr>
          <w:color w:val="auto"/>
        </w:rPr>
        <w:t xml:space="preserve">capital </w:t>
      </w:r>
      <w:r w:rsidRPr="00A05311">
        <w:rPr>
          <w:color w:val="auto"/>
        </w:rPr>
        <w:t>value of the Communities, Churches and Local Authorities</w:t>
      </w:r>
      <w:r w:rsidR="00FF2DCF" w:rsidRPr="00A05311">
        <w:rPr>
          <w:color w:val="auto"/>
        </w:rPr>
        <w:t xml:space="preserve"> (CCLA)</w:t>
      </w:r>
      <w:r w:rsidR="00A05311" w:rsidRPr="00A05311">
        <w:rPr>
          <w:color w:val="auto"/>
        </w:rPr>
        <w:t xml:space="preserve"> Fund has increased by 34.37</w:t>
      </w:r>
      <w:r w:rsidRPr="00A05311">
        <w:rPr>
          <w:color w:val="auto"/>
        </w:rPr>
        <w:t xml:space="preserve">% </w:t>
      </w:r>
      <w:r w:rsidR="009F3410" w:rsidRPr="00A05311">
        <w:rPr>
          <w:color w:val="auto"/>
        </w:rPr>
        <w:t>between</w:t>
      </w:r>
      <w:r w:rsidRPr="00A05311">
        <w:rPr>
          <w:color w:val="auto"/>
        </w:rPr>
        <w:t xml:space="preserve"> April 2013</w:t>
      </w:r>
      <w:r w:rsidR="00532CA7" w:rsidRPr="00A05311">
        <w:rPr>
          <w:color w:val="auto"/>
        </w:rPr>
        <w:t xml:space="preserve"> and</w:t>
      </w:r>
      <w:r w:rsidR="009F3410" w:rsidRPr="00A05311">
        <w:rPr>
          <w:color w:val="auto"/>
        </w:rPr>
        <w:t xml:space="preserve"> March 201</w:t>
      </w:r>
      <w:r w:rsidR="00A05311" w:rsidRPr="00A05311">
        <w:rPr>
          <w:color w:val="auto"/>
        </w:rPr>
        <w:t>9</w:t>
      </w:r>
      <w:r w:rsidR="002A367B" w:rsidRPr="00A05311">
        <w:rPr>
          <w:color w:val="auto"/>
        </w:rPr>
        <w:t xml:space="preserve">. </w:t>
      </w:r>
      <w:r w:rsidR="00C15AB5" w:rsidRPr="00A05311">
        <w:rPr>
          <w:color w:val="auto"/>
        </w:rPr>
        <w:t xml:space="preserve">However, it is </w:t>
      </w:r>
      <w:r w:rsidR="00867F4D" w:rsidRPr="00A05311">
        <w:rPr>
          <w:color w:val="auto"/>
        </w:rPr>
        <w:t xml:space="preserve">important to reiterate that fluctuations in </w:t>
      </w:r>
      <w:r w:rsidR="002A367B" w:rsidRPr="00A05311">
        <w:rPr>
          <w:color w:val="auto"/>
        </w:rPr>
        <w:t>value are to be expected with property fund investments</w:t>
      </w:r>
      <w:r w:rsidR="00FF2DCF" w:rsidRPr="00A05311">
        <w:rPr>
          <w:color w:val="auto"/>
        </w:rPr>
        <w:t xml:space="preserve"> over the short term</w:t>
      </w:r>
      <w:r w:rsidR="00867F4D" w:rsidRPr="00A05311">
        <w:rPr>
          <w:color w:val="auto"/>
        </w:rPr>
        <w:t xml:space="preserve"> and that they</w:t>
      </w:r>
      <w:r w:rsidR="00FF2DCF" w:rsidRPr="00A05311">
        <w:rPr>
          <w:color w:val="auto"/>
        </w:rPr>
        <w:t xml:space="preserve"> are a long term investment</w:t>
      </w:r>
      <w:r w:rsidR="00867F4D" w:rsidRPr="00A05311">
        <w:rPr>
          <w:color w:val="auto"/>
        </w:rPr>
        <w:t xml:space="preserve">; as such, </w:t>
      </w:r>
      <w:r w:rsidR="00FF2DCF" w:rsidRPr="00A05311">
        <w:rPr>
          <w:color w:val="auto"/>
        </w:rPr>
        <w:t>any gains and losses in fund value should be considered over the long term</w:t>
      </w:r>
      <w:r w:rsidR="002A367B" w:rsidRPr="00A05311">
        <w:rPr>
          <w:color w:val="auto"/>
        </w:rPr>
        <w:t xml:space="preserve">. </w:t>
      </w:r>
    </w:p>
    <w:p w:rsidR="00B44FA0" w:rsidRPr="00A05311" w:rsidRDefault="00FF2DCF" w:rsidP="00100D19">
      <w:pPr>
        <w:pStyle w:val="bParagraphtext"/>
        <w:rPr>
          <w:color w:val="auto"/>
        </w:rPr>
      </w:pPr>
      <w:r w:rsidRPr="00A05311">
        <w:rPr>
          <w:color w:val="auto"/>
        </w:rPr>
        <w:t>T</w:t>
      </w:r>
      <w:r w:rsidR="00D665B3" w:rsidRPr="00A05311">
        <w:rPr>
          <w:color w:val="auto"/>
        </w:rPr>
        <w:t>he</w:t>
      </w:r>
      <w:r w:rsidR="00A93461" w:rsidRPr="00A05311">
        <w:rPr>
          <w:color w:val="auto"/>
        </w:rPr>
        <w:t xml:space="preserve"> overall value of the</w:t>
      </w:r>
      <w:r w:rsidR="00D665B3" w:rsidRPr="00A05311">
        <w:rPr>
          <w:color w:val="auto"/>
        </w:rPr>
        <w:t xml:space="preserve"> </w:t>
      </w:r>
      <w:proofErr w:type="spellStart"/>
      <w:r w:rsidR="00D665B3" w:rsidRPr="00A05311">
        <w:rPr>
          <w:color w:val="auto"/>
        </w:rPr>
        <w:t>Lothbury</w:t>
      </w:r>
      <w:proofErr w:type="spellEnd"/>
      <w:r w:rsidR="00A93461" w:rsidRPr="00A05311">
        <w:rPr>
          <w:color w:val="auto"/>
        </w:rPr>
        <w:t xml:space="preserve"> property</w:t>
      </w:r>
      <w:r w:rsidR="00D665B3" w:rsidRPr="00A05311">
        <w:rPr>
          <w:color w:val="auto"/>
        </w:rPr>
        <w:t xml:space="preserve"> fund</w:t>
      </w:r>
      <w:r w:rsidR="00A93461" w:rsidRPr="00A05311">
        <w:rPr>
          <w:color w:val="auto"/>
        </w:rPr>
        <w:t xml:space="preserve"> investment</w:t>
      </w:r>
      <w:r w:rsidR="00D665B3" w:rsidRPr="00A05311">
        <w:rPr>
          <w:color w:val="auto"/>
        </w:rPr>
        <w:t xml:space="preserve"> has increased by </w:t>
      </w:r>
      <w:r w:rsidR="00A05311" w:rsidRPr="00A05311">
        <w:rPr>
          <w:color w:val="auto"/>
        </w:rPr>
        <w:t>17</w:t>
      </w:r>
      <w:r w:rsidR="00D665B3" w:rsidRPr="00A05311">
        <w:rPr>
          <w:color w:val="auto"/>
        </w:rPr>
        <w:t>.</w:t>
      </w:r>
      <w:r w:rsidR="00A05311" w:rsidRPr="00A05311">
        <w:rPr>
          <w:color w:val="auto"/>
        </w:rPr>
        <w:t>3</w:t>
      </w:r>
      <w:r w:rsidR="00A93461" w:rsidRPr="00A05311">
        <w:rPr>
          <w:color w:val="auto"/>
        </w:rPr>
        <w:t>9</w:t>
      </w:r>
      <w:r w:rsidR="00D665B3" w:rsidRPr="00A05311">
        <w:rPr>
          <w:color w:val="auto"/>
        </w:rPr>
        <w:t>% since</w:t>
      </w:r>
      <w:r w:rsidR="00A93461" w:rsidRPr="00A05311">
        <w:rPr>
          <w:color w:val="auto"/>
        </w:rPr>
        <w:t xml:space="preserve"> inception in </w:t>
      </w:r>
      <w:r w:rsidR="00D665B3" w:rsidRPr="00A05311">
        <w:rPr>
          <w:color w:val="auto"/>
        </w:rPr>
        <w:t>August 2014</w:t>
      </w:r>
      <w:r w:rsidR="00C15AB5" w:rsidRPr="00A05311">
        <w:rPr>
          <w:color w:val="auto"/>
        </w:rPr>
        <w:t>.</w:t>
      </w:r>
    </w:p>
    <w:p w:rsidR="00D665B3" w:rsidRPr="00690EE9" w:rsidRDefault="00D665B3" w:rsidP="00690EE9">
      <w:pPr>
        <w:pStyle w:val="bParagraphtext"/>
        <w:rPr>
          <w:color w:val="auto"/>
        </w:rPr>
      </w:pPr>
      <w:r w:rsidRPr="006B10E6">
        <w:rPr>
          <w:color w:val="auto"/>
        </w:rPr>
        <w:t>Actual investment income for 201</w:t>
      </w:r>
      <w:r w:rsidR="006B10E6" w:rsidRPr="006B10E6">
        <w:rPr>
          <w:color w:val="auto"/>
        </w:rPr>
        <w:t>8</w:t>
      </w:r>
      <w:r w:rsidRPr="006B10E6">
        <w:rPr>
          <w:color w:val="auto"/>
        </w:rPr>
        <w:t>/1</w:t>
      </w:r>
      <w:r w:rsidR="006B10E6" w:rsidRPr="006B10E6">
        <w:rPr>
          <w:color w:val="auto"/>
        </w:rPr>
        <w:t>9</w:t>
      </w:r>
      <w:r w:rsidRPr="006B10E6">
        <w:rPr>
          <w:color w:val="auto"/>
        </w:rPr>
        <w:t xml:space="preserve"> was £</w:t>
      </w:r>
      <w:r w:rsidR="0084499F">
        <w:rPr>
          <w:color w:val="auto"/>
        </w:rPr>
        <w:t>3.12</w:t>
      </w:r>
      <w:r w:rsidRPr="006B10E6">
        <w:rPr>
          <w:color w:val="auto"/>
        </w:rPr>
        <w:t xml:space="preserve"> million; </w:t>
      </w:r>
      <w:r w:rsidR="006B10E6" w:rsidRPr="006B10E6">
        <w:rPr>
          <w:color w:val="auto"/>
        </w:rPr>
        <w:t>£0.</w:t>
      </w:r>
      <w:r w:rsidR="00690EE9">
        <w:rPr>
          <w:color w:val="auto"/>
        </w:rPr>
        <w:t>21</w:t>
      </w:r>
      <w:r w:rsidR="00315EF9" w:rsidRPr="006B10E6">
        <w:rPr>
          <w:color w:val="auto"/>
        </w:rPr>
        <w:t xml:space="preserve">m </w:t>
      </w:r>
      <w:r w:rsidR="00786968" w:rsidRPr="006B10E6">
        <w:rPr>
          <w:color w:val="auto"/>
        </w:rPr>
        <w:t xml:space="preserve">higher </w:t>
      </w:r>
      <w:r w:rsidRPr="006B10E6">
        <w:rPr>
          <w:color w:val="auto"/>
        </w:rPr>
        <w:t xml:space="preserve">than the budget </w:t>
      </w:r>
      <w:r w:rsidR="005057B8" w:rsidRPr="006B10E6">
        <w:rPr>
          <w:color w:val="auto"/>
        </w:rPr>
        <w:t xml:space="preserve">estimate </w:t>
      </w:r>
      <w:r w:rsidRPr="006B10E6">
        <w:rPr>
          <w:color w:val="auto"/>
        </w:rPr>
        <w:t>of £</w:t>
      </w:r>
      <w:r w:rsidR="00690EE9">
        <w:rPr>
          <w:color w:val="auto"/>
        </w:rPr>
        <w:t>2.91</w:t>
      </w:r>
      <w:r w:rsidRPr="00212051">
        <w:rPr>
          <w:color w:val="auto"/>
        </w:rPr>
        <w:t xml:space="preserve"> million. </w:t>
      </w:r>
      <w:r w:rsidR="00315EF9" w:rsidRPr="00212051">
        <w:rPr>
          <w:color w:val="auto"/>
        </w:rPr>
        <w:t>The difference is primarily due to reinvestments being arranged at a higher rate than previously a</w:t>
      </w:r>
      <w:r w:rsidR="006B10E6" w:rsidRPr="00690EE9">
        <w:rPr>
          <w:color w:val="auto"/>
        </w:rPr>
        <w:t>ssumed following the rate rise and the inc</w:t>
      </w:r>
      <w:r w:rsidR="006C035E">
        <w:rPr>
          <w:color w:val="auto"/>
        </w:rPr>
        <w:t>reased average investment level.</w:t>
      </w:r>
    </w:p>
    <w:p w:rsidR="00D665B3" w:rsidRPr="00FD1D38" w:rsidRDefault="00D665B3" w:rsidP="00100D19">
      <w:pPr>
        <w:pStyle w:val="bParagraphtext"/>
        <w:rPr>
          <w:color w:val="auto"/>
        </w:rPr>
      </w:pPr>
      <w:r w:rsidRPr="00FD1D38">
        <w:rPr>
          <w:color w:val="auto"/>
        </w:rPr>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 xml:space="preserve">Interest Rates since 31 March </w:t>
      </w:r>
      <w:r w:rsidR="000F7327">
        <w:rPr>
          <w:b/>
        </w:rPr>
        <w:t>201</w:t>
      </w:r>
      <w:r w:rsidR="00445217">
        <w:rPr>
          <w:b/>
        </w:rPr>
        <w:t>9</w:t>
      </w:r>
    </w:p>
    <w:p w:rsidR="00643CC2" w:rsidRDefault="00643CC2" w:rsidP="00100D19">
      <w:pPr>
        <w:pStyle w:val="bParagraphtext"/>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C035E">
        <w:t>depende</w:t>
      </w:r>
      <w:r w:rsidR="006E2AB9">
        <w:t>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Pr="00730E64" w:rsidRDefault="00BC72D2" w:rsidP="00301501">
      <w:pPr>
        <w:pStyle w:val="bParagraphtext"/>
        <w:rPr>
          <w:color w:val="auto"/>
        </w:rPr>
      </w:pPr>
      <w:r w:rsidRPr="00FD1D38">
        <w:rPr>
          <w:color w:val="auto"/>
        </w:rPr>
        <w:t xml:space="preserve">There </w:t>
      </w:r>
      <w:r w:rsidR="00FD1D38" w:rsidRPr="00FD1D38">
        <w:rPr>
          <w:color w:val="auto"/>
        </w:rPr>
        <w:t>have been no</w:t>
      </w:r>
      <w:r w:rsidR="00C15AB5" w:rsidRPr="00FD1D38">
        <w:rPr>
          <w:color w:val="auto"/>
        </w:rPr>
        <w:t xml:space="preserve"> increase</w:t>
      </w:r>
      <w:r w:rsidR="00FD1D38" w:rsidRPr="00FD1D38">
        <w:rPr>
          <w:color w:val="auto"/>
        </w:rPr>
        <w:t>s</w:t>
      </w:r>
      <w:r w:rsidR="00C15AB5" w:rsidRPr="00FD1D38">
        <w:rPr>
          <w:color w:val="auto"/>
        </w:rPr>
        <w:t xml:space="preserve"> in Base Rate</w:t>
      </w:r>
      <w:r w:rsidRPr="00FD1D38">
        <w:rPr>
          <w:color w:val="auto"/>
        </w:rPr>
        <w:t xml:space="preserve"> </w:t>
      </w:r>
      <w:r w:rsidR="00FD1D38" w:rsidRPr="00FD1D38">
        <w:rPr>
          <w:color w:val="auto"/>
        </w:rPr>
        <w:t>since</w:t>
      </w:r>
      <w:r w:rsidRPr="00FD1D38">
        <w:rPr>
          <w:color w:val="auto"/>
        </w:rPr>
        <w:t xml:space="preserve"> August 2018. </w:t>
      </w:r>
      <w:r w:rsidR="00315EF9" w:rsidRPr="00FD1D38">
        <w:rPr>
          <w:color w:val="auto"/>
        </w:rPr>
        <w:t>Link</w:t>
      </w:r>
      <w:r w:rsidR="00A93461" w:rsidRPr="00FD1D38">
        <w:rPr>
          <w:color w:val="auto"/>
        </w:rPr>
        <w:t xml:space="preserve">’s current view </w:t>
      </w:r>
      <w:r w:rsidR="00A93461" w:rsidRPr="00730E64">
        <w:rPr>
          <w:color w:val="auto"/>
        </w:rPr>
        <w:t xml:space="preserve">is that </w:t>
      </w:r>
      <w:r w:rsidR="006E2AB9" w:rsidRPr="00730E64">
        <w:rPr>
          <w:color w:val="auto"/>
        </w:rPr>
        <w:t xml:space="preserve">it </w:t>
      </w:r>
      <w:r w:rsidR="00A93461" w:rsidRPr="00730E64">
        <w:rPr>
          <w:color w:val="auto"/>
        </w:rPr>
        <w:t xml:space="preserve">will </w:t>
      </w:r>
      <w:r w:rsidR="00FD1D38" w:rsidRPr="00730E64">
        <w:rPr>
          <w:color w:val="auto"/>
        </w:rPr>
        <w:t>only increase to 0.25</w:t>
      </w:r>
      <w:r w:rsidR="00315EF9" w:rsidRPr="00730E64">
        <w:rPr>
          <w:color w:val="auto"/>
        </w:rPr>
        <w:t xml:space="preserve">% </w:t>
      </w:r>
      <w:r w:rsidR="00FD1D38" w:rsidRPr="00730E64">
        <w:rPr>
          <w:color w:val="auto"/>
        </w:rPr>
        <w:t>over the next 3 years</w:t>
      </w:r>
      <w:r w:rsidR="00315EF9" w:rsidRPr="00730E64">
        <w:rPr>
          <w:color w:val="auto"/>
        </w:rPr>
        <w:t xml:space="preserve">. </w:t>
      </w:r>
    </w:p>
    <w:p w:rsidR="008F36F3" w:rsidRPr="00FD1D38" w:rsidRDefault="008F36F3" w:rsidP="005876BD">
      <w:pPr>
        <w:pStyle w:val="bParagraphtext"/>
        <w:rPr>
          <w:color w:val="auto"/>
        </w:rPr>
      </w:pPr>
      <w:r w:rsidRPr="00FD1D38">
        <w:rPr>
          <w:color w:val="auto"/>
        </w:rPr>
        <w:t xml:space="preserve">The Council continues to use money market funds, call accounts and instant access accounts for liquidity purposes, whilst seeking to maximise its returns by arranging longer term deposits where possible. In order to achieve this position, it is vital to maintain a robust </w:t>
      </w:r>
      <w:proofErr w:type="spellStart"/>
      <w:r w:rsidRPr="00FD1D38">
        <w:rPr>
          <w:color w:val="auto"/>
        </w:rPr>
        <w:t>cashflow</w:t>
      </w:r>
      <w:proofErr w:type="spellEnd"/>
      <w:r w:rsidRPr="00FD1D38">
        <w:rPr>
          <w:color w:val="auto"/>
        </w:rPr>
        <w:t xml:space="preserve"> model which is continuously reviewed and updated. However, given the volatile nature of the Council’s </w:t>
      </w:r>
      <w:proofErr w:type="spellStart"/>
      <w:r w:rsidRPr="00FD1D38">
        <w:rPr>
          <w:color w:val="auto"/>
        </w:rPr>
        <w:t>cashflow</w:t>
      </w:r>
      <w:proofErr w:type="spellEnd"/>
      <w:r w:rsidRPr="00FD1D38">
        <w:rPr>
          <w:color w:val="auto"/>
        </w:rPr>
        <w:t xml:space="preserve"> requirements, it is not always possible to “lock away” funds for as long as may be desirable and so a strategic approach to investments is fundamental in order to achieve the most </w:t>
      </w:r>
      <w:r w:rsidR="00350DC9" w:rsidRPr="00FD1D38">
        <w:rPr>
          <w:color w:val="auto"/>
        </w:rPr>
        <w:t xml:space="preserve">practicable yet </w:t>
      </w:r>
      <w:r w:rsidRPr="00FD1D38">
        <w:rPr>
          <w:color w:val="auto"/>
        </w:rPr>
        <w:t xml:space="preserve">favourable outcome. </w:t>
      </w:r>
    </w:p>
    <w:p w:rsidR="0040736F" w:rsidRDefault="002329CF" w:rsidP="005876BD">
      <w:pPr>
        <w:pStyle w:val="bParagraphtext"/>
        <w:numPr>
          <w:ilvl w:val="0"/>
          <w:numId w:val="0"/>
        </w:numPr>
        <w:ind w:left="426" w:hanging="426"/>
      </w:pPr>
      <w:r w:rsidRPr="008F36F3">
        <w:rPr>
          <w:b/>
        </w:rPr>
        <w:lastRenderedPageBreak/>
        <w:t>Financial implications</w:t>
      </w:r>
    </w:p>
    <w:p w:rsidR="00E87F7A" w:rsidRPr="001356F1" w:rsidRDefault="00D665B3" w:rsidP="005570B5">
      <w:pPr>
        <w:pStyle w:val="ListParagraph"/>
      </w:pPr>
      <w:r w:rsidRPr="00D665B3">
        <w:t>These are set out within the body of the report.</w:t>
      </w:r>
    </w:p>
    <w:p w:rsidR="0040736F" w:rsidRDefault="00DA614B" w:rsidP="004A6D2F">
      <w:pPr>
        <w:pStyle w:val="Heading1"/>
      </w:pPr>
      <w:r w:rsidRPr="001356F1">
        <w:t>Legal issues</w:t>
      </w:r>
    </w:p>
    <w:p w:rsidR="00E87F7A" w:rsidRPr="002F242D" w:rsidRDefault="00D665B3" w:rsidP="005570B5">
      <w:pPr>
        <w:pStyle w:val="ListParagraph"/>
      </w:pPr>
      <w:r w:rsidRPr="002F242D">
        <w:t>The Council is required</w:t>
      </w:r>
      <w:r w:rsidR="002F242D">
        <w:t>,</w:t>
      </w:r>
      <w:r w:rsidR="002F242D" w:rsidRPr="002F242D">
        <w:t xml:space="preserve"> under the 2003 Local Government Act</w:t>
      </w:r>
      <w:r w:rsidR="002F242D">
        <w:t>,</w:t>
      </w:r>
      <w:r w:rsidRPr="002F242D">
        <w:t xml:space="preserve"> to report on its Treasury Management </w:t>
      </w:r>
      <w:r w:rsidR="00C4243C" w:rsidRPr="002F242D">
        <w:t>f</w:t>
      </w:r>
      <w:r w:rsidRPr="002F242D">
        <w:t>unction on an annual basis.  This report meets that requirement</w:t>
      </w:r>
      <w:r w:rsidR="00E87F7A" w:rsidRPr="002F242D">
        <w:t>.</w:t>
      </w:r>
      <w:r w:rsidR="00C352FA" w:rsidRPr="002F242D">
        <w:t xml:space="preserve"> </w:t>
      </w:r>
    </w:p>
    <w:p w:rsidR="002329CF" w:rsidRDefault="002329CF" w:rsidP="004A6D2F">
      <w:pPr>
        <w:pStyle w:val="Heading1"/>
      </w:pPr>
      <w:r w:rsidRPr="001356F1">
        <w:t>Level of risk</w:t>
      </w:r>
    </w:p>
    <w:p w:rsidR="00BC69A4" w:rsidRDefault="00D665B3" w:rsidP="005570B5">
      <w:pPr>
        <w:pStyle w:val="ListParagraph"/>
      </w:pPr>
      <w:r w:rsidRPr="00D665B3">
        <w:t xml:space="preserve">There are no risks in connection with the report’s recommendations.  Risk assessment and management is a key part of Treasury Management activity, especially in the selection of counterparties when investment is being considered. </w:t>
      </w:r>
      <w:r w:rsidR="00726F91">
        <w:t>The Council uses external advise</w:t>
      </w:r>
      <w:r w:rsidRPr="00D665B3">
        <w:t>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 xml:space="preserve">There is no equalities impact </w:t>
      </w:r>
      <w:r w:rsidR="006C035E">
        <w:t xml:space="preserve">assessment </w:t>
      </w:r>
      <w:r w:rsidRPr="00D665B3">
        <w:t>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20EF9" w:rsidP="00A46E98">
            <w:r>
              <w:t>Paul Jeffery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50DC9" w:rsidP="00A46E98">
            <w:r>
              <w:t>Technical Officer, Treasury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 w:rsidRPr="00D665B3">
              <w:t>01865 252</w:t>
            </w:r>
            <w:r w:rsidR="00A60A93">
              <w:t>739</w:t>
            </w:r>
            <w:r w:rsidRPr="00D665B3">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20EF9" w:rsidP="006138B3">
            <w:pPr>
              <w:rPr>
                <w:rStyle w:val="Hyperlink"/>
                <w:color w:val="000000"/>
              </w:rPr>
            </w:pPr>
            <w:r>
              <w:rPr>
                <w:u w:val="single"/>
              </w:rPr>
              <w:t>pjeffery</w:t>
            </w:r>
            <w:r w:rsidR="00D665B3" w:rsidRPr="00D665B3">
              <w:rPr>
                <w:u w:val="single"/>
              </w:rPr>
              <w:t xml:space="preserve">@oxford.gov.uk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07" w:rsidRDefault="00766C07" w:rsidP="004A6D2F">
      <w:r>
        <w:separator/>
      </w:r>
    </w:p>
  </w:endnote>
  <w:endnote w:type="continuationSeparator" w:id="0">
    <w:p w:rsidR="00766C07" w:rsidRDefault="00766C0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6" w:rsidRDefault="003F0216" w:rsidP="004A6D2F">
    <w:pPr>
      <w:pStyle w:val="Footer"/>
    </w:pPr>
    <w:r>
      <w:t>Do not use a footer or page numbers.</w:t>
    </w:r>
  </w:p>
  <w:p w:rsidR="003F0216" w:rsidRDefault="003F0216" w:rsidP="004A6D2F">
    <w:pPr>
      <w:pStyle w:val="Footer"/>
    </w:pPr>
  </w:p>
  <w:p w:rsidR="003F0216" w:rsidRDefault="003F021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6" w:rsidRDefault="003F021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07" w:rsidRDefault="00766C07" w:rsidP="004A6D2F">
      <w:r>
        <w:separator/>
      </w:r>
    </w:p>
  </w:footnote>
  <w:footnote w:type="continuationSeparator" w:id="0">
    <w:p w:rsidR="00766C07" w:rsidRDefault="00766C0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6" w:rsidRDefault="003F0216" w:rsidP="00D5547E">
    <w:pPr>
      <w:pStyle w:val="Header"/>
      <w:jc w:val="right"/>
    </w:pPr>
    <w:r>
      <w:rPr>
        <w:noProof/>
      </w:rPr>
      <w:drawing>
        <wp:inline distT="0" distB="0" distL="0" distR="0" wp14:anchorId="017A1E9C" wp14:editId="44F4E505">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57340"/>
    <w:rsid w:val="00062FC9"/>
    <w:rsid w:val="00064D8A"/>
    <w:rsid w:val="00064F82"/>
    <w:rsid w:val="00066510"/>
    <w:rsid w:val="000669F7"/>
    <w:rsid w:val="00077523"/>
    <w:rsid w:val="000A76AE"/>
    <w:rsid w:val="000B2385"/>
    <w:rsid w:val="000B39A5"/>
    <w:rsid w:val="000C089F"/>
    <w:rsid w:val="000C3928"/>
    <w:rsid w:val="000C5E8E"/>
    <w:rsid w:val="000F4751"/>
    <w:rsid w:val="000F5206"/>
    <w:rsid w:val="000F7327"/>
    <w:rsid w:val="00100D19"/>
    <w:rsid w:val="0010524C"/>
    <w:rsid w:val="00111FB1"/>
    <w:rsid w:val="001133D8"/>
    <w:rsid w:val="00113418"/>
    <w:rsid w:val="001206BF"/>
    <w:rsid w:val="00120C66"/>
    <w:rsid w:val="0012223A"/>
    <w:rsid w:val="0012541E"/>
    <w:rsid w:val="00132410"/>
    <w:rsid w:val="001356F1"/>
    <w:rsid w:val="00136166"/>
    <w:rsid w:val="00136994"/>
    <w:rsid w:val="0014128E"/>
    <w:rsid w:val="00151888"/>
    <w:rsid w:val="001527B6"/>
    <w:rsid w:val="00170A2D"/>
    <w:rsid w:val="001808BC"/>
    <w:rsid w:val="00182B81"/>
    <w:rsid w:val="00183488"/>
    <w:rsid w:val="00184E2E"/>
    <w:rsid w:val="0018619D"/>
    <w:rsid w:val="001975F2"/>
    <w:rsid w:val="001A011E"/>
    <w:rsid w:val="001A066A"/>
    <w:rsid w:val="001A13E6"/>
    <w:rsid w:val="001A509B"/>
    <w:rsid w:val="001A5731"/>
    <w:rsid w:val="001B4255"/>
    <w:rsid w:val="001B42C3"/>
    <w:rsid w:val="001B6A8A"/>
    <w:rsid w:val="001B6F05"/>
    <w:rsid w:val="001C2FA1"/>
    <w:rsid w:val="001C5D5E"/>
    <w:rsid w:val="001D1833"/>
    <w:rsid w:val="001D5EC8"/>
    <w:rsid w:val="001D678D"/>
    <w:rsid w:val="001E03F8"/>
    <w:rsid w:val="001E1678"/>
    <w:rsid w:val="001E3376"/>
    <w:rsid w:val="001F51A6"/>
    <w:rsid w:val="001F7155"/>
    <w:rsid w:val="00205FC0"/>
    <w:rsid w:val="002069B3"/>
    <w:rsid w:val="00212051"/>
    <w:rsid w:val="00215EB4"/>
    <w:rsid w:val="0022643C"/>
    <w:rsid w:val="00226491"/>
    <w:rsid w:val="002269B7"/>
    <w:rsid w:val="002329CF"/>
    <w:rsid w:val="00232F5B"/>
    <w:rsid w:val="0023616E"/>
    <w:rsid w:val="00240F69"/>
    <w:rsid w:val="00243F57"/>
    <w:rsid w:val="00247C29"/>
    <w:rsid w:val="00260467"/>
    <w:rsid w:val="00263EA3"/>
    <w:rsid w:val="0027005E"/>
    <w:rsid w:val="00271749"/>
    <w:rsid w:val="002766F5"/>
    <w:rsid w:val="00284F85"/>
    <w:rsid w:val="002907C7"/>
    <w:rsid w:val="00290915"/>
    <w:rsid w:val="00293757"/>
    <w:rsid w:val="002A22E2"/>
    <w:rsid w:val="002A3355"/>
    <w:rsid w:val="002A367B"/>
    <w:rsid w:val="002A37DD"/>
    <w:rsid w:val="002B0CDE"/>
    <w:rsid w:val="002B7C1F"/>
    <w:rsid w:val="002C3C3E"/>
    <w:rsid w:val="002C64F7"/>
    <w:rsid w:val="002D2A14"/>
    <w:rsid w:val="002D4552"/>
    <w:rsid w:val="002D5CD0"/>
    <w:rsid w:val="002F11BF"/>
    <w:rsid w:val="002F242D"/>
    <w:rsid w:val="002F41F2"/>
    <w:rsid w:val="002F5B4D"/>
    <w:rsid w:val="00301501"/>
    <w:rsid w:val="00301BF3"/>
    <w:rsid w:val="0030208D"/>
    <w:rsid w:val="00307033"/>
    <w:rsid w:val="00315EF9"/>
    <w:rsid w:val="0031639B"/>
    <w:rsid w:val="00323418"/>
    <w:rsid w:val="00333D5B"/>
    <w:rsid w:val="003357BF"/>
    <w:rsid w:val="00350DC9"/>
    <w:rsid w:val="00357F0A"/>
    <w:rsid w:val="003623E2"/>
    <w:rsid w:val="00364FAD"/>
    <w:rsid w:val="0036738F"/>
    <w:rsid w:val="0036759C"/>
    <w:rsid w:val="00367AE5"/>
    <w:rsid w:val="00367D71"/>
    <w:rsid w:val="0037743F"/>
    <w:rsid w:val="00377756"/>
    <w:rsid w:val="0038150A"/>
    <w:rsid w:val="003948AC"/>
    <w:rsid w:val="003B6E75"/>
    <w:rsid w:val="003B7DA1"/>
    <w:rsid w:val="003C415C"/>
    <w:rsid w:val="003D0379"/>
    <w:rsid w:val="003D23A8"/>
    <w:rsid w:val="003D2574"/>
    <w:rsid w:val="003D4C59"/>
    <w:rsid w:val="003E0A82"/>
    <w:rsid w:val="003F0216"/>
    <w:rsid w:val="003F4267"/>
    <w:rsid w:val="003F533D"/>
    <w:rsid w:val="00403FFF"/>
    <w:rsid w:val="00404032"/>
    <w:rsid w:val="0040736F"/>
    <w:rsid w:val="00412C1F"/>
    <w:rsid w:val="0041577F"/>
    <w:rsid w:val="00421149"/>
    <w:rsid w:val="00421CB2"/>
    <w:rsid w:val="004257CD"/>
    <w:rsid w:val="004268B9"/>
    <w:rsid w:val="00431642"/>
    <w:rsid w:val="00433B96"/>
    <w:rsid w:val="0043668A"/>
    <w:rsid w:val="004440F1"/>
    <w:rsid w:val="00445217"/>
    <w:rsid w:val="004456DD"/>
    <w:rsid w:val="00446CDF"/>
    <w:rsid w:val="004521B7"/>
    <w:rsid w:val="00452207"/>
    <w:rsid w:val="00462066"/>
    <w:rsid w:val="00462AB5"/>
    <w:rsid w:val="00465EAF"/>
    <w:rsid w:val="004738C5"/>
    <w:rsid w:val="00491046"/>
    <w:rsid w:val="00495E58"/>
    <w:rsid w:val="004A2AC7"/>
    <w:rsid w:val="004A3A53"/>
    <w:rsid w:val="004A6D2F"/>
    <w:rsid w:val="004B7EE7"/>
    <w:rsid w:val="004C0E25"/>
    <w:rsid w:val="004C2887"/>
    <w:rsid w:val="004D2626"/>
    <w:rsid w:val="004D3622"/>
    <w:rsid w:val="004D4D6D"/>
    <w:rsid w:val="004D6E26"/>
    <w:rsid w:val="004D77D3"/>
    <w:rsid w:val="004E2959"/>
    <w:rsid w:val="004F20EF"/>
    <w:rsid w:val="004F49AE"/>
    <w:rsid w:val="0050321C"/>
    <w:rsid w:val="005057B8"/>
    <w:rsid w:val="00513644"/>
    <w:rsid w:val="00521D01"/>
    <w:rsid w:val="00532CA7"/>
    <w:rsid w:val="0054712D"/>
    <w:rsid w:val="00547EF6"/>
    <w:rsid w:val="005558F6"/>
    <w:rsid w:val="005570B5"/>
    <w:rsid w:val="005615B3"/>
    <w:rsid w:val="00567E18"/>
    <w:rsid w:val="005708F5"/>
    <w:rsid w:val="00575F5F"/>
    <w:rsid w:val="00581805"/>
    <w:rsid w:val="00585F76"/>
    <w:rsid w:val="005876BD"/>
    <w:rsid w:val="0059681E"/>
    <w:rsid w:val="005A34E4"/>
    <w:rsid w:val="005B17F2"/>
    <w:rsid w:val="005B1E8B"/>
    <w:rsid w:val="005B7A13"/>
    <w:rsid w:val="005B7FB0"/>
    <w:rsid w:val="005C17B3"/>
    <w:rsid w:val="005C35A5"/>
    <w:rsid w:val="005C3B06"/>
    <w:rsid w:val="005C4FF3"/>
    <w:rsid w:val="005C577C"/>
    <w:rsid w:val="005D0621"/>
    <w:rsid w:val="005D1E27"/>
    <w:rsid w:val="005D2A3E"/>
    <w:rsid w:val="005D4CEA"/>
    <w:rsid w:val="005E022E"/>
    <w:rsid w:val="005E5215"/>
    <w:rsid w:val="005F44E1"/>
    <w:rsid w:val="005F7F7E"/>
    <w:rsid w:val="006025F8"/>
    <w:rsid w:val="00604425"/>
    <w:rsid w:val="006138B3"/>
    <w:rsid w:val="00614693"/>
    <w:rsid w:val="00622F6F"/>
    <w:rsid w:val="00623C2F"/>
    <w:rsid w:val="00633578"/>
    <w:rsid w:val="00633F7C"/>
    <w:rsid w:val="00637068"/>
    <w:rsid w:val="00640B58"/>
    <w:rsid w:val="00643CC2"/>
    <w:rsid w:val="00650811"/>
    <w:rsid w:val="00661D3E"/>
    <w:rsid w:val="00690EE9"/>
    <w:rsid w:val="00691728"/>
    <w:rsid w:val="00692627"/>
    <w:rsid w:val="006969E7"/>
    <w:rsid w:val="006A3643"/>
    <w:rsid w:val="006B0996"/>
    <w:rsid w:val="006B10E6"/>
    <w:rsid w:val="006B6E11"/>
    <w:rsid w:val="006C035E"/>
    <w:rsid w:val="006C2A29"/>
    <w:rsid w:val="006C64CF"/>
    <w:rsid w:val="006D17B1"/>
    <w:rsid w:val="006D4752"/>
    <w:rsid w:val="006D708A"/>
    <w:rsid w:val="006E14C1"/>
    <w:rsid w:val="006E2AB9"/>
    <w:rsid w:val="006F0292"/>
    <w:rsid w:val="006F27FA"/>
    <w:rsid w:val="006F36C1"/>
    <w:rsid w:val="006F416B"/>
    <w:rsid w:val="006F519B"/>
    <w:rsid w:val="00713675"/>
    <w:rsid w:val="00715823"/>
    <w:rsid w:val="00726F91"/>
    <w:rsid w:val="00730E64"/>
    <w:rsid w:val="0073286E"/>
    <w:rsid w:val="00737B93"/>
    <w:rsid w:val="00745BF0"/>
    <w:rsid w:val="0075459A"/>
    <w:rsid w:val="00754EFB"/>
    <w:rsid w:val="00754FD0"/>
    <w:rsid w:val="007615FE"/>
    <w:rsid w:val="0076655C"/>
    <w:rsid w:val="00766C07"/>
    <w:rsid w:val="00767401"/>
    <w:rsid w:val="007703CA"/>
    <w:rsid w:val="007729E8"/>
    <w:rsid w:val="0077395B"/>
    <w:rsid w:val="007742DC"/>
    <w:rsid w:val="00774FC2"/>
    <w:rsid w:val="00786968"/>
    <w:rsid w:val="00791437"/>
    <w:rsid w:val="007B0C2C"/>
    <w:rsid w:val="007B278E"/>
    <w:rsid w:val="007C1175"/>
    <w:rsid w:val="007C5C23"/>
    <w:rsid w:val="007D2192"/>
    <w:rsid w:val="007D7F03"/>
    <w:rsid w:val="007E06B4"/>
    <w:rsid w:val="007E0FA2"/>
    <w:rsid w:val="007E2A26"/>
    <w:rsid w:val="007E577D"/>
    <w:rsid w:val="007E6A43"/>
    <w:rsid w:val="007F1871"/>
    <w:rsid w:val="007F2348"/>
    <w:rsid w:val="007F4395"/>
    <w:rsid w:val="008005A9"/>
    <w:rsid w:val="00803F07"/>
    <w:rsid w:val="0080749A"/>
    <w:rsid w:val="00821FB8"/>
    <w:rsid w:val="00822ACD"/>
    <w:rsid w:val="00841F4D"/>
    <w:rsid w:val="0084499F"/>
    <w:rsid w:val="00855C66"/>
    <w:rsid w:val="00867F4D"/>
    <w:rsid w:val="00871EE4"/>
    <w:rsid w:val="00886756"/>
    <w:rsid w:val="00890146"/>
    <w:rsid w:val="008A28AC"/>
    <w:rsid w:val="008A50BD"/>
    <w:rsid w:val="008B293F"/>
    <w:rsid w:val="008B53BF"/>
    <w:rsid w:val="008B7371"/>
    <w:rsid w:val="008D2323"/>
    <w:rsid w:val="008D3DDB"/>
    <w:rsid w:val="008F36F3"/>
    <w:rsid w:val="008F573F"/>
    <w:rsid w:val="009034EC"/>
    <w:rsid w:val="0090526E"/>
    <w:rsid w:val="0091431E"/>
    <w:rsid w:val="00920A3D"/>
    <w:rsid w:val="009239A8"/>
    <w:rsid w:val="0093067A"/>
    <w:rsid w:val="00941C60"/>
    <w:rsid w:val="009436B2"/>
    <w:rsid w:val="009455E4"/>
    <w:rsid w:val="009508C1"/>
    <w:rsid w:val="00953D47"/>
    <w:rsid w:val="00966D42"/>
    <w:rsid w:val="009672C0"/>
    <w:rsid w:val="009678A8"/>
    <w:rsid w:val="00970434"/>
    <w:rsid w:val="00971689"/>
    <w:rsid w:val="00972A62"/>
    <w:rsid w:val="00973E90"/>
    <w:rsid w:val="00975B07"/>
    <w:rsid w:val="00980B4A"/>
    <w:rsid w:val="00981D91"/>
    <w:rsid w:val="00984C38"/>
    <w:rsid w:val="009957BD"/>
    <w:rsid w:val="009A6AD6"/>
    <w:rsid w:val="009D2089"/>
    <w:rsid w:val="009E17D6"/>
    <w:rsid w:val="009E3D0A"/>
    <w:rsid w:val="009E4E9F"/>
    <w:rsid w:val="009E51FC"/>
    <w:rsid w:val="009F1D28"/>
    <w:rsid w:val="009F3410"/>
    <w:rsid w:val="009F7618"/>
    <w:rsid w:val="00A001D1"/>
    <w:rsid w:val="00A03B14"/>
    <w:rsid w:val="00A04D23"/>
    <w:rsid w:val="00A05311"/>
    <w:rsid w:val="00A06766"/>
    <w:rsid w:val="00A07272"/>
    <w:rsid w:val="00A13765"/>
    <w:rsid w:val="00A21B12"/>
    <w:rsid w:val="00A23F80"/>
    <w:rsid w:val="00A27956"/>
    <w:rsid w:val="00A46E98"/>
    <w:rsid w:val="00A47F42"/>
    <w:rsid w:val="00A50A6C"/>
    <w:rsid w:val="00A579AC"/>
    <w:rsid w:val="00A60A93"/>
    <w:rsid w:val="00A6352B"/>
    <w:rsid w:val="00A700CB"/>
    <w:rsid w:val="00A701B5"/>
    <w:rsid w:val="00A714BB"/>
    <w:rsid w:val="00A75B88"/>
    <w:rsid w:val="00A85E45"/>
    <w:rsid w:val="00A92D8F"/>
    <w:rsid w:val="00A93461"/>
    <w:rsid w:val="00AB2988"/>
    <w:rsid w:val="00AB7999"/>
    <w:rsid w:val="00AC0CA1"/>
    <w:rsid w:val="00AC10B7"/>
    <w:rsid w:val="00AC690C"/>
    <w:rsid w:val="00AD3292"/>
    <w:rsid w:val="00AE7AF0"/>
    <w:rsid w:val="00B27C96"/>
    <w:rsid w:val="00B44FA0"/>
    <w:rsid w:val="00B500CA"/>
    <w:rsid w:val="00B76E64"/>
    <w:rsid w:val="00B80611"/>
    <w:rsid w:val="00B86314"/>
    <w:rsid w:val="00B96B52"/>
    <w:rsid w:val="00BA0F24"/>
    <w:rsid w:val="00BA1A6A"/>
    <w:rsid w:val="00BA1C2E"/>
    <w:rsid w:val="00BB3BD4"/>
    <w:rsid w:val="00BB52A6"/>
    <w:rsid w:val="00BC200B"/>
    <w:rsid w:val="00BC4756"/>
    <w:rsid w:val="00BC69A4"/>
    <w:rsid w:val="00BC72D2"/>
    <w:rsid w:val="00BE00BA"/>
    <w:rsid w:val="00BE0680"/>
    <w:rsid w:val="00BE24E6"/>
    <w:rsid w:val="00BE305F"/>
    <w:rsid w:val="00BE7028"/>
    <w:rsid w:val="00BE7BA3"/>
    <w:rsid w:val="00BF1A38"/>
    <w:rsid w:val="00BF5682"/>
    <w:rsid w:val="00BF7B09"/>
    <w:rsid w:val="00C003B7"/>
    <w:rsid w:val="00C032BC"/>
    <w:rsid w:val="00C0444C"/>
    <w:rsid w:val="00C05CE9"/>
    <w:rsid w:val="00C15AB5"/>
    <w:rsid w:val="00C20A95"/>
    <w:rsid w:val="00C252AE"/>
    <w:rsid w:val="00C2692F"/>
    <w:rsid w:val="00C3207C"/>
    <w:rsid w:val="00C352FA"/>
    <w:rsid w:val="00C400E1"/>
    <w:rsid w:val="00C41187"/>
    <w:rsid w:val="00C4243C"/>
    <w:rsid w:val="00C505DF"/>
    <w:rsid w:val="00C50F12"/>
    <w:rsid w:val="00C63C31"/>
    <w:rsid w:val="00C63CDF"/>
    <w:rsid w:val="00C744AC"/>
    <w:rsid w:val="00C757A0"/>
    <w:rsid w:val="00C760DE"/>
    <w:rsid w:val="00C761B2"/>
    <w:rsid w:val="00C806C4"/>
    <w:rsid w:val="00C8130F"/>
    <w:rsid w:val="00C82630"/>
    <w:rsid w:val="00C85B4E"/>
    <w:rsid w:val="00C907F7"/>
    <w:rsid w:val="00C9131F"/>
    <w:rsid w:val="00C92F2C"/>
    <w:rsid w:val="00CA2103"/>
    <w:rsid w:val="00CB07F2"/>
    <w:rsid w:val="00CB6B99"/>
    <w:rsid w:val="00CC2715"/>
    <w:rsid w:val="00CC55AD"/>
    <w:rsid w:val="00CC6144"/>
    <w:rsid w:val="00CD0DE3"/>
    <w:rsid w:val="00CD2A56"/>
    <w:rsid w:val="00CE2F57"/>
    <w:rsid w:val="00CE4C87"/>
    <w:rsid w:val="00CE544A"/>
    <w:rsid w:val="00D11E1C"/>
    <w:rsid w:val="00D160B0"/>
    <w:rsid w:val="00D17F94"/>
    <w:rsid w:val="00D223FC"/>
    <w:rsid w:val="00D26D1E"/>
    <w:rsid w:val="00D474CF"/>
    <w:rsid w:val="00D53CEA"/>
    <w:rsid w:val="00D5547E"/>
    <w:rsid w:val="00D665B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E01F42"/>
    <w:rsid w:val="00E206D6"/>
    <w:rsid w:val="00E20EF9"/>
    <w:rsid w:val="00E26E46"/>
    <w:rsid w:val="00E3366E"/>
    <w:rsid w:val="00E52086"/>
    <w:rsid w:val="00E543A6"/>
    <w:rsid w:val="00E60479"/>
    <w:rsid w:val="00E61D73"/>
    <w:rsid w:val="00E6507C"/>
    <w:rsid w:val="00E73684"/>
    <w:rsid w:val="00E744F7"/>
    <w:rsid w:val="00E818D6"/>
    <w:rsid w:val="00E87F7A"/>
    <w:rsid w:val="00E92388"/>
    <w:rsid w:val="00E92925"/>
    <w:rsid w:val="00E949BF"/>
    <w:rsid w:val="00E94DFB"/>
    <w:rsid w:val="00E96BD7"/>
    <w:rsid w:val="00EA0DB1"/>
    <w:rsid w:val="00EA0EE9"/>
    <w:rsid w:val="00EB0912"/>
    <w:rsid w:val="00EB5A82"/>
    <w:rsid w:val="00ED52CA"/>
    <w:rsid w:val="00ED5860"/>
    <w:rsid w:val="00EE35C9"/>
    <w:rsid w:val="00EE6CBF"/>
    <w:rsid w:val="00EF6E41"/>
    <w:rsid w:val="00F05ECA"/>
    <w:rsid w:val="00F133FC"/>
    <w:rsid w:val="00F13652"/>
    <w:rsid w:val="00F3566E"/>
    <w:rsid w:val="00F375FB"/>
    <w:rsid w:val="00F37815"/>
    <w:rsid w:val="00F41AC1"/>
    <w:rsid w:val="00F4367A"/>
    <w:rsid w:val="00F445B1"/>
    <w:rsid w:val="00F4527E"/>
    <w:rsid w:val="00F45CD4"/>
    <w:rsid w:val="00F66DCA"/>
    <w:rsid w:val="00F67A47"/>
    <w:rsid w:val="00F72A82"/>
    <w:rsid w:val="00F74F53"/>
    <w:rsid w:val="00F7606D"/>
    <w:rsid w:val="00F81670"/>
    <w:rsid w:val="00F817ED"/>
    <w:rsid w:val="00F82024"/>
    <w:rsid w:val="00F8363E"/>
    <w:rsid w:val="00F85B7F"/>
    <w:rsid w:val="00F93893"/>
    <w:rsid w:val="00F95BC9"/>
    <w:rsid w:val="00FA020C"/>
    <w:rsid w:val="00FA4743"/>
    <w:rsid w:val="00FA624C"/>
    <w:rsid w:val="00FB0616"/>
    <w:rsid w:val="00FB7388"/>
    <w:rsid w:val="00FC11B4"/>
    <w:rsid w:val="00FC15DE"/>
    <w:rsid w:val="00FD0FAC"/>
    <w:rsid w:val="00FD1D38"/>
    <w:rsid w:val="00FD1DFA"/>
    <w:rsid w:val="00FD4966"/>
    <w:rsid w:val="00FD79ED"/>
    <w:rsid w:val="00FE157D"/>
    <w:rsid w:val="00FE57DC"/>
    <w:rsid w:val="00FF11C2"/>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193193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3505184">
      <w:bodyDiv w:val="1"/>
      <w:marLeft w:val="0"/>
      <w:marRight w:val="0"/>
      <w:marTop w:val="0"/>
      <w:marBottom w:val="0"/>
      <w:divBdr>
        <w:top w:val="none" w:sz="0" w:space="0" w:color="auto"/>
        <w:left w:val="none" w:sz="0" w:space="0" w:color="auto"/>
        <w:bottom w:val="none" w:sz="0" w:space="0" w:color="auto"/>
        <w:right w:val="none" w:sz="0" w:space="0" w:color="auto"/>
      </w:divBdr>
    </w:div>
    <w:div w:id="6685559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27871563">
      <w:bodyDiv w:val="1"/>
      <w:marLeft w:val="0"/>
      <w:marRight w:val="0"/>
      <w:marTop w:val="0"/>
      <w:marBottom w:val="0"/>
      <w:divBdr>
        <w:top w:val="none" w:sz="0" w:space="0" w:color="auto"/>
        <w:left w:val="none" w:sz="0" w:space="0" w:color="auto"/>
        <w:bottom w:val="none" w:sz="0" w:space="0" w:color="auto"/>
        <w:right w:val="none" w:sz="0" w:space="0" w:color="auto"/>
      </w:divBdr>
    </w:div>
    <w:div w:id="104518255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3078714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91446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 w:id="1801918591">
      <w:bodyDiv w:val="1"/>
      <w:marLeft w:val="0"/>
      <w:marRight w:val="0"/>
      <w:marTop w:val="0"/>
      <w:marBottom w:val="0"/>
      <w:divBdr>
        <w:top w:val="none" w:sz="0" w:space="0" w:color="auto"/>
        <w:left w:val="none" w:sz="0" w:space="0" w:color="auto"/>
        <w:bottom w:val="none" w:sz="0" w:space="0" w:color="auto"/>
        <w:right w:val="none" w:sz="0" w:space="0" w:color="auto"/>
      </w:divBdr>
    </w:div>
    <w:div w:id="1806853766">
      <w:bodyDiv w:val="1"/>
      <w:marLeft w:val="0"/>
      <w:marRight w:val="0"/>
      <w:marTop w:val="0"/>
      <w:marBottom w:val="0"/>
      <w:divBdr>
        <w:top w:val="none" w:sz="0" w:space="0" w:color="auto"/>
        <w:left w:val="none" w:sz="0" w:space="0" w:color="auto"/>
        <w:bottom w:val="none" w:sz="0" w:space="0" w:color="auto"/>
        <w:right w:val="none" w:sz="0" w:space="0" w:color="auto"/>
      </w:divBdr>
    </w:div>
    <w:div w:id="1886485572">
      <w:bodyDiv w:val="1"/>
      <w:marLeft w:val="0"/>
      <w:marRight w:val="0"/>
      <w:marTop w:val="0"/>
      <w:marBottom w:val="0"/>
      <w:divBdr>
        <w:top w:val="none" w:sz="0" w:space="0" w:color="auto"/>
        <w:left w:val="none" w:sz="0" w:space="0" w:color="auto"/>
        <w:bottom w:val="none" w:sz="0" w:space="0" w:color="auto"/>
        <w:right w:val="none" w:sz="0" w:space="0" w:color="auto"/>
      </w:divBdr>
    </w:div>
    <w:div w:id="2102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6855-DBB2-41D8-AC19-24C38B88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875A35C6</Template>
  <TotalTime>46</TotalTime>
  <Pages>9</Pages>
  <Words>2522</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thudson</cp:lastModifiedBy>
  <cp:revision>8</cp:revision>
  <cp:lastPrinted>2019-08-14T11:25:00Z</cp:lastPrinted>
  <dcterms:created xsi:type="dcterms:W3CDTF">2019-08-16T14:00:00Z</dcterms:created>
  <dcterms:modified xsi:type="dcterms:W3CDTF">2019-08-27T13:48:00Z</dcterms:modified>
</cp:coreProperties>
</file>